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11BEA" w14:textId="3CCB7154" w:rsidR="002B02D8" w:rsidRPr="007148A6" w:rsidRDefault="002B02D8" w:rsidP="002B02D8">
      <w:pPr>
        <w:jc w:val="center"/>
        <w:rPr>
          <w:rFonts w:ascii="Arial" w:hAnsi="Arial" w:cs="Arial"/>
          <w:b/>
          <w:caps/>
        </w:rPr>
      </w:pPr>
      <w:r w:rsidRPr="007148A6">
        <w:rPr>
          <w:rFonts w:ascii="Arial" w:hAnsi="Arial" w:cs="Arial"/>
          <w:b/>
          <w:caps/>
        </w:rPr>
        <w:t>Formulación de propuestas sobre el régimen de coparticipación federal de impuestos orientadas a una futura legislación</w:t>
      </w:r>
    </w:p>
    <w:p w14:paraId="1F618578" w14:textId="77777777" w:rsidR="00B15674" w:rsidRPr="009A37DB" w:rsidRDefault="00B15674" w:rsidP="00B15674">
      <w:pPr>
        <w:spacing w:before="240" w:after="0"/>
        <w:jc w:val="both"/>
        <w:rPr>
          <w:rFonts w:ascii="Arial" w:hAnsi="Arial" w:cs="Arial"/>
          <w:b/>
        </w:rPr>
      </w:pPr>
      <w:r w:rsidRPr="009A37DB">
        <w:rPr>
          <w:rFonts w:ascii="Arial" w:hAnsi="Arial" w:cs="Arial"/>
          <w:b/>
        </w:rPr>
        <w:t>Autores:</w:t>
      </w:r>
    </w:p>
    <w:p w14:paraId="7B4A107A" w14:textId="77777777" w:rsidR="00B15674" w:rsidRPr="009A37DB" w:rsidRDefault="00B15674" w:rsidP="00544323">
      <w:pPr>
        <w:spacing w:after="0" w:line="240" w:lineRule="auto"/>
        <w:jc w:val="both"/>
        <w:rPr>
          <w:rFonts w:ascii="Arial" w:hAnsi="Arial" w:cs="Arial"/>
        </w:rPr>
      </w:pPr>
      <w:r w:rsidRPr="009A37DB">
        <w:rPr>
          <w:rFonts w:ascii="Arial" w:hAnsi="Arial" w:cs="Arial"/>
          <w:b/>
        </w:rPr>
        <w:t>Juan Argentino Vega,</w:t>
      </w:r>
      <w:r w:rsidRPr="009A37DB">
        <w:rPr>
          <w:rFonts w:ascii="Arial" w:hAnsi="Arial" w:cs="Arial"/>
        </w:rPr>
        <w:t xml:space="preserve"> Facultad de Ciencias Económicas, Universidad Nacional de Cuyo y</w:t>
      </w:r>
    </w:p>
    <w:p w14:paraId="63671EE4" w14:textId="77777777" w:rsidR="00B15674" w:rsidRPr="009A37DB" w:rsidRDefault="00B15674" w:rsidP="00544323">
      <w:pPr>
        <w:spacing w:after="0" w:line="240" w:lineRule="auto"/>
        <w:jc w:val="both"/>
        <w:rPr>
          <w:rFonts w:ascii="Arial" w:hAnsi="Arial" w:cs="Arial"/>
        </w:rPr>
      </w:pPr>
      <w:r w:rsidRPr="009A37DB">
        <w:rPr>
          <w:rFonts w:ascii="Arial" w:hAnsi="Arial" w:cs="Arial"/>
        </w:rPr>
        <w:t>Asociación Argentina de Presupuesto y Administración Financiera Pública (ASAP),</w:t>
      </w:r>
    </w:p>
    <w:p w14:paraId="0618F35D" w14:textId="77777777" w:rsidR="00B15674" w:rsidRPr="009A37DB" w:rsidRDefault="00B15674" w:rsidP="00544323">
      <w:pPr>
        <w:spacing w:after="0" w:line="240" w:lineRule="auto"/>
        <w:jc w:val="both"/>
        <w:rPr>
          <w:rFonts w:ascii="Arial" w:hAnsi="Arial" w:cs="Arial"/>
        </w:rPr>
      </w:pPr>
      <w:r w:rsidRPr="009A37DB">
        <w:rPr>
          <w:rFonts w:ascii="Arial" w:hAnsi="Arial" w:cs="Arial"/>
        </w:rPr>
        <w:t xml:space="preserve">Ferroviarios Argentinos 646, Mendoza – </w:t>
      </w:r>
      <w:hyperlink r:id="rId8" w:history="1">
        <w:r w:rsidRPr="009A37DB">
          <w:rPr>
            <w:rStyle w:val="Hipervnculo"/>
            <w:rFonts w:ascii="Arial" w:hAnsi="Arial" w:cs="Arial"/>
          </w:rPr>
          <w:t>juan.a.vega@gmail.com</w:t>
        </w:r>
      </w:hyperlink>
      <w:r w:rsidRPr="009A37DB">
        <w:rPr>
          <w:rFonts w:ascii="Arial" w:hAnsi="Arial" w:cs="Arial"/>
        </w:rPr>
        <w:t xml:space="preserve"> – Tel. +542614234638.</w:t>
      </w:r>
    </w:p>
    <w:p w14:paraId="063CE4CC" w14:textId="77777777" w:rsidR="00B15674" w:rsidRPr="009A37DB" w:rsidRDefault="00B15674" w:rsidP="00B15674">
      <w:pPr>
        <w:spacing w:before="120" w:after="0"/>
        <w:jc w:val="both"/>
        <w:rPr>
          <w:rFonts w:ascii="Arial" w:hAnsi="Arial" w:cs="Arial"/>
        </w:rPr>
      </w:pPr>
      <w:r w:rsidRPr="009A37DB">
        <w:rPr>
          <w:rFonts w:ascii="Arial" w:hAnsi="Arial" w:cs="Arial"/>
          <w:b/>
        </w:rPr>
        <w:t>Sonia Griselda Araujo Furlan,</w:t>
      </w:r>
      <w:r w:rsidRPr="009A37DB">
        <w:rPr>
          <w:rFonts w:ascii="Arial" w:hAnsi="Arial" w:cs="Arial"/>
        </w:rPr>
        <w:t xml:space="preserve"> </w:t>
      </w:r>
      <w:hyperlink r:id="rId9" w:history="1">
        <w:r w:rsidRPr="009A37DB">
          <w:rPr>
            <w:rStyle w:val="Hipervnculo"/>
            <w:rFonts w:ascii="Arial" w:hAnsi="Arial" w:cs="Arial"/>
          </w:rPr>
          <w:t>sonia.araujo.689@gmail.com</w:t>
        </w:r>
      </w:hyperlink>
      <w:r w:rsidRPr="009A37DB">
        <w:rPr>
          <w:rFonts w:ascii="Arial" w:hAnsi="Arial" w:cs="Arial"/>
        </w:rPr>
        <w:t xml:space="preserve"> - </w:t>
      </w:r>
      <w:r w:rsidRPr="009A37DB">
        <w:rPr>
          <w:rFonts w:ascii="Arial" w:hAnsi="Arial" w:cs="Arial"/>
          <w:shd w:val="clear" w:color="auto" w:fill="FFFFFF"/>
        </w:rPr>
        <w:t>+542646704358.</w:t>
      </w:r>
    </w:p>
    <w:p w14:paraId="69220773" w14:textId="77777777" w:rsidR="00B15674" w:rsidRPr="009A37DB" w:rsidRDefault="00B15674" w:rsidP="00B15674">
      <w:pPr>
        <w:pStyle w:val="Default"/>
        <w:spacing w:before="120" w:line="259" w:lineRule="auto"/>
        <w:rPr>
          <w:rFonts w:ascii="Arial" w:hAnsi="Arial" w:cs="Arial"/>
          <w:sz w:val="22"/>
          <w:szCs w:val="22"/>
        </w:rPr>
      </w:pPr>
      <w:r w:rsidRPr="009A37DB">
        <w:rPr>
          <w:rFonts w:ascii="Arial" w:hAnsi="Arial" w:cs="Arial"/>
          <w:b/>
          <w:sz w:val="22"/>
          <w:szCs w:val="22"/>
        </w:rPr>
        <w:t>Cintia Vanesa Zavi,</w:t>
      </w:r>
      <w:r w:rsidRPr="009A37DB">
        <w:rPr>
          <w:rFonts w:ascii="Arial" w:hAnsi="Arial" w:cs="Arial"/>
          <w:sz w:val="22"/>
          <w:szCs w:val="22"/>
        </w:rPr>
        <w:t xml:space="preserve"> </w:t>
      </w:r>
      <w:hyperlink r:id="rId10" w:history="1">
        <w:r w:rsidRPr="009A37DB">
          <w:rPr>
            <w:rStyle w:val="Hipervnculo"/>
            <w:rFonts w:ascii="Arial" w:hAnsi="Arial" w:cs="Arial"/>
            <w:sz w:val="22"/>
            <w:szCs w:val="22"/>
          </w:rPr>
          <w:t>cintia_zavi@hotmail.com</w:t>
        </w:r>
      </w:hyperlink>
      <w:r w:rsidRPr="009A37DB">
        <w:rPr>
          <w:rFonts w:ascii="Arial" w:hAnsi="Arial" w:cs="Arial"/>
          <w:sz w:val="22"/>
          <w:szCs w:val="22"/>
        </w:rPr>
        <w:t xml:space="preserve"> - +542614669982.</w:t>
      </w:r>
    </w:p>
    <w:p w14:paraId="5984C076" w14:textId="77777777" w:rsidR="00B15674" w:rsidRPr="009A37DB" w:rsidRDefault="00B15674" w:rsidP="00B15674">
      <w:pPr>
        <w:pStyle w:val="Default"/>
        <w:spacing w:before="120"/>
        <w:rPr>
          <w:rFonts w:ascii="Arial" w:hAnsi="Arial" w:cs="Arial"/>
          <w:sz w:val="22"/>
          <w:szCs w:val="22"/>
        </w:rPr>
      </w:pPr>
      <w:r w:rsidRPr="009A37DB">
        <w:rPr>
          <w:rFonts w:ascii="Arial" w:hAnsi="Arial" w:cs="Arial"/>
          <w:b/>
          <w:sz w:val="22"/>
          <w:szCs w:val="22"/>
        </w:rPr>
        <w:t>Palabras claves</w:t>
      </w:r>
      <w:r w:rsidRPr="009A37DB">
        <w:rPr>
          <w:rFonts w:ascii="Arial" w:hAnsi="Arial" w:cs="Arial"/>
          <w:sz w:val="22"/>
          <w:szCs w:val="22"/>
        </w:rPr>
        <w:t>: Federalismo fiscal; Coparticipación federal; Responsabilidad fiscal.</w:t>
      </w:r>
    </w:p>
    <w:p w14:paraId="54D8481B" w14:textId="77777777" w:rsidR="00B15674" w:rsidRPr="009A37DB" w:rsidRDefault="00B15674" w:rsidP="00B15674">
      <w:pPr>
        <w:pStyle w:val="Default"/>
        <w:spacing w:before="120"/>
        <w:rPr>
          <w:rFonts w:ascii="Arial" w:hAnsi="Arial" w:cs="Arial"/>
          <w:color w:val="auto"/>
          <w:sz w:val="22"/>
          <w:szCs w:val="22"/>
        </w:rPr>
      </w:pPr>
      <w:r w:rsidRPr="009A37DB">
        <w:rPr>
          <w:rFonts w:ascii="Arial" w:hAnsi="Arial" w:cs="Arial"/>
          <w:b/>
          <w:color w:val="auto"/>
          <w:sz w:val="22"/>
          <w:szCs w:val="22"/>
        </w:rPr>
        <w:t xml:space="preserve">Clasificación JEL: </w:t>
      </w:r>
      <w:r w:rsidRPr="009A37DB">
        <w:rPr>
          <w:rFonts w:ascii="Arial" w:hAnsi="Arial" w:cs="Arial"/>
          <w:sz w:val="22"/>
          <w:szCs w:val="22"/>
        </w:rPr>
        <w:t xml:space="preserve"> H7 – Gobiernos subnacionales; Relaciones intergubernamentales</w:t>
      </w:r>
    </w:p>
    <w:p w14:paraId="028E1252" w14:textId="77777777" w:rsidR="00B15674" w:rsidRDefault="00B15674" w:rsidP="002B02D8">
      <w:pPr>
        <w:jc w:val="center"/>
        <w:rPr>
          <w:rFonts w:ascii="Arial" w:hAnsi="Arial" w:cs="Arial"/>
          <w:b/>
          <w:i/>
          <w:iCs/>
          <w:caps/>
        </w:rPr>
      </w:pPr>
    </w:p>
    <w:p w14:paraId="49A4ACAB" w14:textId="7A935E1A" w:rsidR="002B02D8" w:rsidRPr="007148A6" w:rsidRDefault="002B02D8" w:rsidP="002B02D8">
      <w:pPr>
        <w:jc w:val="center"/>
        <w:rPr>
          <w:rFonts w:ascii="Arial" w:hAnsi="Arial" w:cs="Arial"/>
          <w:b/>
          <w:i/>
          <w:iCs/>
          <w:caps/>
        </w:rPr>
      </w:pPr>
      <w:r w:rsidRPr="007148A6">
        <w:rPr>
          <w:rFonts w:ascii="Arial" w:hAnsi="Arial" w:cs="Arial"/>
          <w:b/>
          <w:i/>
          <w:iCs/>
          <w:caps/>
        </w:rPr>
        <w:t>RESUMEN</w:t>
      </w:r>
    </w:p>
    <w:p w14:paraId="4D80F43D" w14:textId="49257145" w:rsidR="002B02D8" w:rsidRPr="007148A6" w:rsidRDefault="00B15674" w:rsidP="002B02D8">
      <w:pPr>
        <w:spacing w:after="0" w:line="240" w:lineRule="auto"/>
        <w:jc w:val="both"/>
        <w:rPr>
          <w:rFonts w:ascii="Arial" w:hAnsi="Arial" w:cs="Arial"/>
        </w:rPr>
      </w:pPr>
      <w:r>
        <w:rPr>
          <w:rFonts w:ascii="Arial" w:hAnsi="Arial" w:cs="Arial"/>
        </w:rPr>
        <w:t>En este trabajo s</w:t>
      </w:r>
      <w:r w:rsidR="002B02D8" w:rsidRPr="007148A6">
        <w:rPr>
          <w:rFonts w:ascii="Arial" w:hAnsi="Arial" w:cs="Arial"/>
        </w:rPr>
        <w:t>e insiste en la distribución primaria y secundaria en la coparticipación federal y la composición de la masa coparticipable. Se trata de avanzar en una propuesta que contemple trasparencia y previsibilidad del sistema tributario e incluya criterios objetivos de distribución. Ha habido propuestas de otros autores y en la Comisión Federal de Impuestos funcionan dos comisiones que estudian el tema, pero no existe ningún proyecto en estado parlamentario.</w:t>
      </w:r>
    </w:p>
    <w:p w14:paraId="67269E7A" w14:textId="77777777" w:rsidR="002B02D8" w:rsidRPr="007148A6" w:rsidRDefault="002B02D8" w:rsidP="002B02D8">
      <w:pPr>
        <w:spacing w:after="0" w:line="240" w:lineRule="auto"/>
        <w:jc w:val="both"/>
        <w:rPr>
          <w:rFonts w:ascii="Arial" w:hAnsi="Arial" w:cs="Arial"/>
        </w:rPr>
      </w:pPr>
      <w:r w:rsidRPr="007148A6">
        <w:rPr>
          <w:rFonts w:ascii="Arial" w:hAnsi="Arial" w:cs="Arial"/>
        </w:rPr>
        <w:t xml:space="preserve">La Ley 23.548 no se ajusta a lo establecido por la Constitución de distribuir las recaudaciones tributarias “entre la Nación, las provincias y la ciudad de Buenos Aires”… “en relación directa a las competencias, servicios y funciones de cada una de ellas contemplando criterios objetivos de reparto” y no cumple las condiciones de ser equitativa, solidaria y dar “prioridad al logro de un grado equivalente de desarrollo, calidad de vida e igualdad de oportunidades en todo el territorio nacional”. </w:t>
      </w:r>
    </w:p>
    <w:p w14:paraId="4F9A91C0" w14:textId="77777777" w:rsidR="002B02D8" w:rsidRPr="007148A6" w:rsidRDefault="002B02D8" w:rsidP="002B02D8">
      <w:pPr>
        <w:spacing w:after="0" w:line="240" w:lineRule="auto"/>
        <w:jc w:val="both"/>
        <w:rPr>
          <w:rFonts w:ascii="Arial" w:hAnsi="Arial" w:cs="Arial"/>
        </w:rPr>
      </w:pPr>
      <w:r w:rsidRPr="007148A6">
        <w:rPr>
          <w:rFonts w:ascii="Arial" w:hAnsi="Arial" w:cs="Arial"/>
        </w:rPr>
        <w:t>Los autores del presente han presentado propuestas que, además de seguir los lineamientos constitucionales, han agregado objetivos de responsabilidad fiscal que incentivarían el buen desempeño fiscal de los gobiernos subnacionales.</w:t>
      </w:r>
    </w:p>
    <w:p w14:paraId="77D64E02" w14:textId="46FAE88D" w:rsidR="002B02D8" w:rsidRPr="007148A6" w:rsidRDefault="002B02D8" w:rsidP="002B02D8">
      <w:pPr>
        <w:spacing w:after="0" w:line="240" w:lineRule="auto"/>
        <w:jc w:val="both"/>
        <w:rPr>
          <w:rFonts w:ascii="Arial" w:hAnsi="Arial" w:cs="Arial"/>
        </w:rPr>
      </w:pPr>
      <w:r w:rsidRPr="007148A6">
        <w:rPr>
          <w:rFonts w:ascii="Arial" w:hAnsi="Arial" w:cs="Arial"/>
        </w:rPr>
        <w:t>El presente trabajo avanza hacia una propuesta más elaborada y actualizada con nuevos componentes y con discusiones adicionales sobre contribuciones de otros autores.</w:t>
      </w:r>
    </w:p>
    <w:p w14:paraId="22B839D9" w14:textId="108FFE65" w:rsidR="000E6A27" w:rsidRPr="007148A6" w:rsidRDefault="000E6A27" w:rsidP="002B02D8">
      <w:pPr>
        <w:spacing w:after="0" w:line="240" w:lineRule="auto"/>
        <w:jc w:val="both"/>
        <w:rPr>
          <w:rFonts w:ascii="Arial" w:hAnsi="Arial" w:cs="Arial"/>
        </w:rPr>
      </w:pPr>
    </w:p>
    <w:p w14:paraId="2EF28532" w14:textId="27B9D0F8" w:rsidR="000E6A27" w:rsidRPr="007148A6" w:rsidRDefault="000E6A27" w:rsidP="007148A6">
      <w:pPr>
        <w:spacing w:after="0"/>
        <w:jc w:val="both"/>
        <w:rPr>
          <w:rFonts w:ascii="Arial" w:hAnsi="Arial" w:cs="Arial"/>
        </w:rPr>
      </w:pPr>
      <w:r w:rsidRPr="007148A6">
        <w:rPr>
          <w:rFonts w:ascii="Arial" w:hAnsi="Arial" w:cs="Arial"/>
          <w:b/>
          <w:bCs/>
        </w:rPr>
        <w:t>Palabras claves:</w:t>
      </w:r>
      <w:r w:rsidRPr="007148A6">
        <w:rPr>
          <w:rFonts w:ascii="Arial" w:hAnsi="Arial" w:cs="Arial"/>
        </w:rPr>
        <w:t xml:space="preserve"> Federalismo fiscal; Coparticipación federal; Responsabilidad fiscal.</w:t>
      </w:r>
    </w:p>
    <w:p w14:paraId="28ECABB4" w14:textId="56C9275B" w:rsidR="000E6A27" w:rsidRPr="007148A6" w:rsidRDefault="000E6A27" w:rsidP="007148A6">
      <w:pPr>
        <w:spacing w:after="0"/>
        <w:jc w:val="both"/>
        <w:rPr>
          <w:rFonts w:ascii="Arial" w:hAnsi="Arial" w:cs="Arial"/>
        </w:rPr>
      </w:pPr>
      <w:r w:rsidRPr="007148A6">
        <w:rPr>
          <w:rFonts w:ascii="Arial" w:hAnsi="Arial" w:cs="Arial"/>
          <w:b/>
          <w:bCs/>
        </w:rPr>
        <w:t>Código JEL:</w:t>
      </w:r>
      <w:r w:rsidRPr="007148A6">
        <w:rPr>
          <w:rFonts w:ascii="Arial" w:hAnsi="Arial" w:cs="Arial"/>
        </w:rPr>
        <w:t xml:space="preserve"> H7 – Gobiernos subnacionales, Relaciones intergubernamentales.</w:t>
      </w:r>
    </w:p>
    <w:p w14:paraId="7F1F23E2" w14:textId="77777777" w:rsidR="000E6A27" w:rsidRPr="007148A6" w:rsidRDefault="000E6A27" w:rsidP="002B02D8">
      <w:pPr>
        <w:spacing w:after="0" w:line="240" w:lineRule="auto"/>
        <w:jc w:val="both"/>
        <w:rPr>
          <w:rFonts w:ascii="Arial" w:hAnsi="Arial" w:cs="Arial"/>
        </w:rPr>
      </w:pPr>
    </w:p>
    <w:p w14:paraId="44FC258C" w14:textId="77777777" w:rsidR="00B15674" w:rsidRPr="00497710" w:rsidRDefault="00B15674" w:rsidP="002B02D8">
      <w:pPr>
        <w:shd w:val="clear" w:color="auto" w:fill="FFFFFF"/>
        <w:spacing w:after="0" w:line="240" w:lineRule="auto"/>
        <w:jc w:val="center"/>
        <w:rPr>
          <w:rFonts w:ascii="Arial" w:eastAsia="Times New Roman" w:hAnsi="Arial" w:cs="Arial"/>
          <w:b/>
          <w:bCs/>
          <w:caps/>
          <w:lang w:eastAsia="es-AR"/>
        </w:rPr>
      </w:pPr>
    </w:p>
    <w:p w14:paraId="6A85066D" w14:textId="3C773A16" w:rsidR="002B02D8" w:rsidRPr="007148A6" w:rsidRDefault="002B02D8" w:rsidP="00B15674">
      <w:pPr>
        <w:shd w:val="clear" w:color="auto" w:fill="FFFFFF"/>
        <w:spacing w:after="240" w:line="240" w:lineRule="auto"/>
        <w:jc w:val="center"/>
        <w:rPr>
          <w:rFonts w:ascii="Arial" w:eastAsia="Times New Roman" w:hAnsi="Arial" w:cs="Arial"/>
          <w:b/>
          <w:bCs/>
          <w:caps/>
          <w:lang w:val="en" w:eastAsia="es-AR"/>
        </w:rPr>
      </w:pPr>
      <w:r w:rsidRPr="007148A6">
        <w:rPr>
          <w:rFonts w:ascii="Arial" w:eastAsia="Times New Roman" w:hAnsi="Arial" w:cs="Arial"/>
          <w:b/>
          <w:bCs/>
          <w:caps/>
          <w:lang w:val="en" w:eastAsia="es-AR"/>
        </w:rPr>
        <w:t>proposals on the federal tax-sharing regime aimed at future legislation</w:t>
      </w:r>
    </w:p>
    <w:p w14:paraId="21B2DCC0" w14:textId="77777777" w:rsidR="002B02D8" w:rsidRPr="007148A6" w:rsidRDefault="002B02D8" w:rsidP="00B15674">
      <w:pPr>
        <w:spacing w:after="240"/>
        <w:jc w:val="center"/>
        <w:rPr>
          <w:rFonts w:ascii="Arial" w:hAnsi="Arial" w:cs="Arial"/>
          <w:b/>
          <w:i/>
          <w:iCs/>
          <w:caps/>
          <w:lang w:val="en-US"/>
        </w:rPr>
      </w:pPr>
      <w:r w:rsidRPr="007148A6">
        <w:rPr>
          <w:rFonts w:ascii="Arial" w:hAnsi="Arial" w:cs="Arial"/>
          <w:b/>
          <w:i/>
          <w:iCs/>
          <w:caps/>
          <w:lang w:val="en-US"/>
        </w:rPr>
        <w:t>ABSTRACT</w:t>
      </w:r>
    </w:p>
    <w:p w14:paraId="65CB721D" w14:textId="7C8B54DA" w:rsidR="002B02D8" w:rsidRPr="007148A6" w:rsidRDefault="002B02D8" w:rsidP="002B02D8">
      <w:pPr>
        <w:shd w:val="clear" w:color="auto" w:fill="FFFFFF"/>
        <w:spacing w:after="0" w:line="240" w:lineRule="auto"/>
        <w:jc w:val="both"/>
        <w:rPr>
          <w:rFonts w:ascii="Arial" w:eastAsia="Times New Roman" w:hAnsi="Arial" w:cs="Arial"/>
          <w:lang w:val="en" w:eastAsia="es-AR"/>
        </w:rPr>
      </w:pPr>
      <w:r w:rsidRPr="007148A6">
        <w:rPr>
          <w:rFonts w:ascii="Arial" w:eastAsia="Times New Roman" w:hAnsi="Arial" w:cs="Arial"/>
          <w:lang w:val="en" w:eastAsia="es-AR"/>
        </w:rPr>
        <w:t>This paper emphasized in the primary and secondary distribution in the federal tax</w:t>
      </w:r>
      <w:r w:rsidR="005E08AA" w:rsidRPr="007148A6">
        <w:rPr>
          <w:rFonts w:ascii="Arial" w:eastAsia="Times New Roman" w:hAnsi="Arial" w:cs="Arial"/>
          <w:lang w:val="en" w:eastAsia="es-AR"/>
        </w:rPr>
        <w:t>-</w:t>
      </w:r>
      <w:r w:rsidRPr="007148A6">
        <w:rPr>
          <w:rFonts w:ascii="Arial" w:eastAsia="Times New Roman" w:hAnsi="Arial" w:cs="Arial"/>
          <w:lang w:val="en" w:eastAsia="es-AR"/>
        </w:rPr>
        <w:t xml:space="preserve">sharing regime and the composition of the co-participating mass. The aim is to move forward with a proposal that includes the transparency and predictability of the tax system and includes objective distribution criteria. There have been proposals from other authors and two commissions are in the Federal Tax Commission that study the subject, but there is no project in parliamentary state. </w:t>
      </w:r>
    </w:p>
    <w:p w14:paraId="48E59D7F" w14:textId="77777777" w:rsidR="002B02D8" w:rsidRPr="007148A6" w:rsidRDefault="002B02D8" w:rsidP="002B02D8">
      <w:pPr>
        <w:shd w:val="clear" w:color="auto" w:fill="FFFFFF"/>
        <w:spacing w:after="0" w:line="240" w:lineRule="auto"/>
        <w:jc w:val="both"/>
        <w:rPr>
          <w:rFonts w:ascii="Arial" w:eastAsia="Times New Roman" w:hAnsi="Arial" w:cs="Arial"/>
          <w:lang w:val="en" w:eastAsia="es-AR"/>
        </w:rPr>
      </w:pPr>
      <w:r w:rsidRPr="007148A6">
        <w:rPr>
          <w:rFonts w:ascii="Arial" w:eastAsia="Times New Roman" w:hAnsi="Arial" w:cs="Arial"/>
          <w:lang w:val="en" w:eastAsia="es-AR"/>
        </w:rPr>
        <w:t xml:space="preserve">Law 23.548 does not comply with the provisions of the Constitution to distribute tax collections "between the Nation, the provinces and the city of Buenos Aires"... "in direct relation to the competences, services and functions of each of them contemplating objective allocation criteria" </w:t>
      </w:r>
      <w:r w:rsidRPr="007148A6">
        <w:rPr>
          <w:rFonts w:ascii="Arial" w:eastAsia="Times New Roman" w:hAnsi="Arial" w:cs="Arial"/>
          <w:lang w:val="en" w:eastAsia="es-AR"/>
        </w:rPr>
        <w:lastRenderedPageBreak/>
        <w:t xml:space="preserve">and does not meet the conditions of being equitable, supportive and giving "priority to the achievement of an equivalent degree of development, quality of life and equal opportunities throughout the country." </w:t>
      </w:r>
    </w:p>
    <w:p w14:paraId="2BD7FE9C" w14:textId="77777777" w:rsidR="002B02D8" w:rsidRPr="007148A6" w:rsidRDefault="002B02D8" w:rsidP="002B02D8">
      <w:pPr>
        <w:shd w:val="clear" w:color="auto" w:fill="FFFFFF"/>
        <w:spacing w:after="0" w:line="240" w:lineRule="auto"/>
        <w:jc w:val="both"/>
        <w:rPr>
          <w:rFonts w:ascii="Arial" w:eastAsia="Times New Roman" w:hAnsi="Arial" w:cs="Arial"/>
          <w:lang w:val="en" w:eastAsia="es-AR"/>
        </w:rPr>
      </w:pPr>
      <w:r w:rsidRPr="007148A6">
        <w:rPr>
          <w:rFonts w:ascii="Arial" w:eastAsia="Times New Roman" w:hAnsi="Arial" w:cs="Arial"/>
          <w:lang w:val="en" w:eastAsia="es-AR"/>
        </w:rPr>
        <w:t xml:space="preserve">The authors here have put forward proposals that, in addition to following constitutional guidelines, have added fiscal responsibility objectives that would incentivize the good fiscal performance of subnational governments. </w:t>
      </w:r>
    </w:p>
    <w:p w14:paraId="184F689D" w14:textId="77777777" w:rsidR="002B02D8" w:rsidRPr="007148A6" w:rsidRDefault="002B02D8" w:rsidP="005304FD">
      <w:pPr>
        <w:shd w:val="clear" w:color="auto" w:fill="FFFFFF"/>
        <w:spacing w:after="120" w:line="240" w:lineRule="auto"/>
        <w:jc w:val="both"/>
        <w:rPr>
          <w:rFonts w:ascii="Arial" w:eastAsia="Times New Roman" w:hAnsi="Arial" w:cs="Arial"/>
          <w:lang w:val="en" w:eastAsia="es-AR"/>
        </w:rPr>
      </w:pPr>
      <w:r w:rsidRPr="007148A6">
        <w:rPr>
          <w:rFonts w:ascii="Arial" w:eastAsia="Times New Roman" w:hAnsi="Arial" w:cs="Arial"/>
          <w:lang w:val="en" w:eastAsia="es-AR"/>
        </w:rPr>
        <w:t>This work moves towards a more elaborate and updated proposal with new components and with additional discussions on contributions from other authors.</w:t>
      </w:r>
    </w:p>
    <w:p w14:paraId="0E59A23C" w14:textId="77777777" w:rsidR="000E6A27" w:rsidRPr="007148A6" w:rsidRDefault="000E6A27" w:rsidP="005304FD">
      <w:pPr>
        <w:spacing w:after="0" w:line="240" w:lineRule="auto"/>
        <w:jc w:val="both"/>
        <w:rPr>
          <w:rFonts w:ascii="Arial" w:hAnsi="Arial" w:cs="Arial"/>
          <w:lang w:val="en-US"/>
        </w:rPr>
      </w:pPr>
      <w:r w:rsidRPr="007148A6">
        <w:rPr>
          <w:rFonts w:ascii="Arial" w:hAnsi="Arial" w:cs="Arial"/>
          <w:b/>
          <w:bCs/>
          <w:lang w:val="en-US"/>
        </w:rPr>
        <w:t>Keywords:</w:t>
      </w:r>
      <w:r w:rsidRPr="007148A6">
        <w:rPr>
          <w:rFonts w:ascii="Arial" w:hAnsi="Arial" w:cs="Arial"/>
          <w:lang w:val="en-US"/>
        </w:rPr>
        <w:t xml:space="preserve"> Fiscal federalism; Federal tax sharing; Fiscal responsibility.</w:t>
      </w:r>
    </w:p>
    <w:p w14:paraId="1FB18FE2" w14:textId="77777777" w:rsidR="000E6A27" w:rsidRPr="007148A6" w:rsidRDefault="000E6A27" w:rsidP="005304FD">
      <w:pPr>
        <w:spacing w:after="0" w:line="240" w:lineRule="auto"/>
        <w:jc w:val="both"/>
        <w:rPr>
          <w:rFonts w:ascii="Arial" w:hAnsi="Arial" w:cs="Arial"/>
          <w:lang w:val="en-US"/>
        </w:rPr>
      </w:pPr>
      <w:r w:rsidRPr="007148A6">
        <w:rPr>
          <w:rFonts w:ascii="Arial" w:hAnsi="Arial" w:cs="Arial"/>
          <w:b/>
          <w:bCs/>
          <w:lang w:val="en-US"/>
        </w:rPr>
        <w:t>JEL Code:</w:t>
      </w:r>
      <w:r w:rsidRPr="007148A6">
        <w:rPr>
          <w:rFonts w:ascii="Arial" w:hAnsi="Arial" w:cs="Arial"/>
          <w:lang w:val="en-US"/>
        </w:rPr>
        <w:t xml:space="preserve"> H7 – Subnational governments, Intergovernmental relations.</w:t>
      </w:r>
    </w:p>
    <w:p w14:paraId="1763AD6C" w14:textId="77777777" w:rsidR="00B15674" w:rsidRPr="00497710" w:rsidRDefault="00B15674" w:rsidP="002B02D8">
      <w:pPr>
        <w:jc w:val="center"/>
        <w:rPr>
          <w:rFonts w:ascii="Arial" w:hAnsi="Arial" w:cs="Arial"/>
          <w:b/>
          <w:caps/>
          <w:lang w:val="en-US"/>
        </w:rPr>
      </w:pPr>
      <w:r w:rsidRPr="00497710">
        <w:rPr>
          <w:rFonts w:ascii="Arial" w:hAnsi="Arial" w:cs="Arial"/>
          <w:b/>
          <w:caps/>
          <w:lang w:val="en-US"/>
        </w:rPr>
        <w:br/>
      </w:r>
      <w:r w:rsidRPr="00497710">
        <w:rPr>
          <w:rFonts w:ascii="Arial" w:hAnsi="Arial" w:cs="Arial"/>
          <w:b/>
          <w:caps/>
          <w:lang w:val="en-US"/>
        </w:rPr>
        <w:br/>
      </w:r>
      <w:r w:rsidRPr="00497710">
        <w:rPr>
          <w:rFonts w:ascii="Arial" w:hAnsi="Arial" w:cs="Arial"/>
          <w:b/>
          <w:caps/>
          <w:lang w:val="en-US"/>
        </w:rPr>
        <w:br/>
      </w:r>
      <w:r w:rsidRPr="00497710">
        <w:rPr>
          <w:rFonts w:ascii="Arial" w:hAnsi="Arial" w:cs="Arial"/>
          <w:b/>
          <w:caps/>
          <w:lang w:val="en-US"/>
        </w:rPr>
        <w:br/>
      </w:r>
      <w:r w:rsidRPr="00497710">
        <w:rPr>
          <w:rFonts w:ascii="Arial" w:hAnsi="Arial" w:cs="Arial"/>
          <w:b/>
          <w:caps/>
          <w:lang w:val="en-US"/>
        </w:rPr>
        <w:br/>
      </w:r>
      <w:r w:rsidRPr="00497710">
        <w:rPr>
          <w:rFonts w:ascii="Arial" w:hAnsi="Arial" w:cs="Arial"/>
          <w:b/>
          <w:caps/>
          <w:lang w:val="en-US"/>
        </w:rPr>
        <w:br/>
      </w:r>
      <w:r w:rsidRPr="00497710">
        <w:rPr>
          <w:rFonts w:ascii="Arial" w:hAnsi="Arial" w:cs="Arial"/>
          <w:b/>
          <w:caps/>
          <w:lang w:val="en-US"/>
        </w:rPr>
        <w:br/>
      </w:r>
    </w:p>
    <w:p w14:paraId="59049FC7" w14:textId="77777777" w:rsidR="00B15674" w:rsidRPr="00497710" w:rsidRDefault="00B15674" w:rsidP="002B02D8">
      <w:pPr>
        <w:jc w:val="center"/>
        <w:rPr>
          <w:rFonts w:ascii="Arial" w:hAnsi="Arial" w:cs="Arial"/>
          <w:b/>
          <w:caps/>
          <w:lang w:val="en-US"/>
        </w:rPr>
      </w:pPr>
      <w:r w:rsidRPr="00497710">
        <w:rPr>
          <w:rFonts w:ascii="Arial" w:hAnsi="Arial" w:cs="Arial"/>
          <w:b/>
          <w:caps/>
          <w:lang w:val="en-US"/>
        </w:rPr>
        <w:br/>
      </w:r>
      <w:r w:rsidRPr="00497710">
        <w:rPr>
          <w:rFonts w:ascii="Arial" w:hAnsi="Arial" w:cs="Arial"/>
          <w:b/>
          <w:caps/>
          <w:lang w:val="en-US"/>
        </w:rPr>
        <w:br/>
      </w:r>
      <w:r w:rsidRPr="00497710">
        <w:rPr>
          <w:rFonts w:ascii="Arial" w:hAnsi="Arial" w:cs="Arial"/>
          <w:b/>
          <w:caps/>
          <w:lang w:val="en-US"/>
        </w:rPr>
        <w:br/>
      </w:r>
      <w:r w:rsidRPr="00497710">
        <w:rPr>
          <w:rFonts w:ascii="Arial" w:hAnsi="Arial" w:cs="Arial"/>
          <w:b/>
          <w:caps/>
          <w:lang w:val="en-US"/>
        </w:rPr>
        <w:br/>
      </w:r>
      <w:r w:rsidRPr="00497710">
        <w:rPr>
          <w:rFonts w:ascii="Arial" w:hAnsi="Arial" w:cs="Arial"/>
          <w:b/>
          <w:caps/>
          <w:lang w:val="en-US"/>
        </w:rPr>
        <w:br/>
      </w:r>
      <w:r w:rsidRPr="00497710">
        <w:rPr>
          <w:rFonts w:ascii="Arial" w:hAnsi="Arial" w:cs="Arial"/>
          <w:b/>
          <w:caps/>
          <w:lang w:val="en-US"/>
        </w:rPr>
        <w:br/>
      </w:r>
      <w:r w:rsidRPr="00497710">
        <w:rPr>
          <w:rFonts w:ascii="Arial" w:hAnsi="Arial" w:cs="Arial"/>
          <w:b/>
          <w:caps/>
          <w:lang w:val="en-US"/>
        </w:rPr>
        <w:br/>
      </w:r>
      <w:r w:rsidRPr="00497710">
        <w:rPr>
          <w:rFonts w:ascii="Arial" w:hAnsi="Arial" w:cs="Arial"/>
          <w:b/>
          <w:caps/>
          <w:lang w:val="en-US"/>
        </w:rPr>
        <w:br/>
      </w:r>
      <w:r w:rsidRPr="00497710">
        <w:rPr>
          <w:rFonts w:ascii="Arial" w:hAnsi="Arial" w:cs="Arial"/>
          <w:b/>
          <w:caps/>
          <w:lang w:val="en-US"/>
        </w:rPr>
        <w:br/>
      </w:r>
      <w:r w:rsidRPr="00497710">
        <w:rPr>
          <w:rFonts w:ascii="Arial" w:hAnsi="Arial" w:cs="Arial"/>
          <w:b/>
          <w:caps/>
          <w:lang w:val="en-US"/>
        </w:rPr>
        <w:br/>
      </w:r>
      <w:r w:rsidRPr="00497710">
        <w:rPr>
          <w:rFonts w:ascii="Arial" w:hAnsi="Arial" w:cs="Arial"/>
          <w:b/>
          <w:caps/>
          <w:lang w:val="en-US"/>
        </w:rPr>
        <w:br/>
      </w:r>
      <w:r w:rsidRPr="00497710">
        <w:rPr>
          <w:rFonts w:ascii="Arial" w:hAnsi="Arial" w:cs="Arial"/>
          <w:b/>
          <w:caps/>
          <w:lang w:val="en-US"/>
        </w:rPr>
        <w:br/>
      </w:r>
      <w:r w:rsidRPr="00497710">
        <w:rPr>
          <w:rFonts w:ascii="Arial" w:hAnsi="Arial" w:cs="Arial"/>
          <w:b/>
          <w:caps/>
          <w:lang w:val="en-US"/>
        </w:rPr>
        <w:br/>
      </w:r>
      <w:r w:rsidRPr="00497710">
        <w:rPr>
          <w:rFonts w:ascii="Arial" w:hAnsi="Arial" w:cs="Arial"/>
          <w:b/>
          <w:caps/>
          <w:lang w:val="en-US"/>
        </w:rPr>
        <w:br/>
      </w:r>
      <w:r w:rsidRPr="00497710">
        <w:rPr>
          <w:rFonts w:ascii="Arial" w:hAnsi="Arial" w:cs="Arial"/>
          <w:b/>
          <w:caps/>
          <w:lang w:val="en-US"/>
        </w:rPr>
        <w:br/>
      </w:r>
      <w:r w:rsidRPr="00497710">
        <w:rPr>
          <w:rFonts w:ascii="Arial" w:hAnsi="Arial" w:cs="Arial"/>
          <w:b/>
          <w:caps/>
          <w:lang w:val="en-US"/>
        </w:rPr>
        <w:br/>
      </w:r>
      <w:r w:rsidRPr="00497710">
        <w:rPr>
          <w:rFonts w:ascii="Arial" w:hAnsi="Arial" w:cs="Arial"/>
          <w:b/>
          <w:caps/>
          <w:lang w:val="en-US"/>
        </w:rPr>
        <w:br/>
      </w:r>
      <w:r w:rsidRPr="00497710">
        <w:rPr>
          <w:rFonts w:ascii="Arial" w:hAnsi="Arial" w:cs="Arial"/>
          <w:b/>
          <w:caps/>
          <w:lang w:val="en-US"/>
        </w:rPr>
        <w:br/>
      </w:r>
      <w:r w:rsidRPr="00497710">
        <w:rPr>
          <w:rFonts w:ascii="Arial" w:hAnsi="Arial" w:cs="Arial"/>
          <w:b/>
          <w:caps/>
          <w:lang w:val="en-US"/>
        </w:rPr>
        <w:br/>
      </w:r>
      <w:r w:rsidRPr="00497710">
        <w:rPr>
          <w:rFonts w:ascii="Arial" w:hAnsi="Arial" w:cs="Arial"/>
          <w:b/>
          <w:caps/>
          <w:lang w:val="en-US"/>
        </w:rPr>
        <w:br/>
      </w:r>
    </w:p>
    <w:p w14:paraId="3F53AA0F" w14:textId="77777777" w:rsidR="00544323" w:rsidRDefault="00B15674" w:rsidP="002B02D8">
      <w:pPr>
        <w:jc w:val="center"/>
        <w:rPr>
          <w:rFonts w:ascii="Arial" w:hAnsi="Arial" w:cs="Arial"/>
          <w:b/>
          <w:caps/>
        </w:rPr>
      </w:pPr>
      <w:r w:rsidRPr="00497710">
        <w:rPr>
          <w:rFonts w:ascii="Arial" w:hAnsi="Arial" w:cs="Arial"/>
          <w:b/>
          <w:caps/>
        </w:rPr>
        <w:br/>
      </w:r>
      <w:r w:rsidRPr="00497710">
        <w:rPr>
          <w:rFonts w:ascii="Arial" w:hAnsi="Arial" w:cs="Arial"/>
          <w:b/>
          <w:caps/>
        </w:rPr>
        <w:br/>
      </w:r>
      <w:r w:rsidRPr="00497710">
        <w:rPr>
          <w:rFonts w:ascii="Arial" w:hAnsi="Arial" w:cs="Arial"/>
          <w:b/>
          <w:caps/>
        </w:rPr>
        <w:br/>
      </w:r>
      <w:r w:rsidR="00544323">
        <w:rPr>
          <w:rFonts w:ascii="Arial" w:hAnsi="Arial" w:cs="Arial"/>
          <w:b/>
          <w:caps/>
        </w:rPr>
        <w:br/>
      </w:r>
    </w:p>
    <w:p w14:paraId="026241B4" w14:textId="77777777" w:rsidR="00544323" w:rsidRDefault="00544323">
      <w:pPr>
        <w:rPr>
          <w:rFonts w:ascii="Arial" w:hAnsi="Arial" w:cs="Arial"/>
          <w:b/>
          <w:caps/>
        </w:rPr>
      </w:pPr>
      <w:r>
        <w:rPr>
          <w:rFonts w:ascii="Arial" w:hAnsi="Arial" w:cs="Arial"/>
          <w:b/>
          <w:caps/>
        </w:rPr>
        <w:br w:type="page"/>
      </w:r>
    </w:p>
    <w:p w14:paraId="217C6944" w14:textId="07AFE7F4" w:rsidR="002B02D8" w:rsidRPr="007148A6" w:rsidRDefault="002B02D8" w:rsidP="002B02D8">
      <w:pPr>
        <w:jc w:val="center"/>
        <w:rPr>
          <w:rFonts w:ascii="Arial" w:hAnsi="Arial" w:cs="Arial"/>
          <w:caps/>
        </w:rPr>
      </w:pPr>
      <w:r w:rsidRPr="007148A6">
        <w:rPr>
          <w:rFonts w:ascii="Arial" w:hAnsi="Arial" w:cs="Arial"/>
          <w:b/>
          <w:caps/>
        </w:rPr>
        <w:lastRenderedPageBreak/>
        <w:t>Formulación de propuestas sobre el régimen de coparticipación federal de impuestos orientadas a una futura legislación</w:t>
      </w:r>
    </w:p>
    <w:p w14:paraId="1FC27661" w14:textId="0393B384" w:rsidR="00606991" w:rsidRPr="007148A6" w:rsidRDefault="00026A1B" w:rsidP="00A47481">
      <w:pPr>
        <w:pStyle w:val="Prrafodelista"/>
        <w:numPr>
          <w:ilvl w:val="0"/>
          <w:numId w:val="1"/>
        </w:numPr>
        <w:spacing w:before="120" w:after="120" w:line="360" w:lineRule="auto"/>
        <w:ind w:left="714" w:hanging="357"/>
        <w:jc w:val="both"/>
        <w:rPr>
          <w:rFonts w:ascii="Arial" w:hAnsi="Arial" w:cs="Arial"/>
          <w:b/>
          <w:bCs/>
        </w:rPr>
      </w:pPr>
      <w:r w:rsidRPr="007148A6">
        <w:rPr>
          <w:rFonts w:ascii="Arial" w:hAnsi="Arial" w:cs="Arial"/>
          <w:b/>
          <w:bCs/>
        </w:rPr>
        <w:t>Introducción</w:t>
      </w:r>
    </w:p>
    <w:p w14:paraId="351ECF30" w14:textId="77777777" w:rsidR="00582947" w:rsidRPr="007148A6" w:rsidRDefault="00BC3B18" w:rsidP="00582947">
      <w:pPr>
        <w:pStyle w:val="Prrafodelista"/>
        <w:spacing w:before="240" w:after="240"/>
        <w:ind w:left="0"/>
        <w:jc w:val="both"/>
        <w:rPr>
          <w:rFonts w:ascii="Arial" w:hAnsi="Arial" w:cs="Arial"/>
        </w:rPr>
      </w:pPr>
      <w:r w:rsidRPr="007148A6">
        <w:rPr>
          <w:rFonts w:ascii="Arial" w:hAnsi="Arial" w:cs="Arial"/>
        </w:rPr>
        <w:t>El primer autor del presente y otros colaboradores, e</w:t>
      </w:r>
      <w:r w:rsidR="00026A1B" w:rsidRPr="007148A6">
        <w:rPr>
          <w:rFonts w:ascii="Arial" w:hAnsi="Arial" w:cs="Arial"/>
        </w:rPr>
        <w:t>n un trabajo anterior</w:t>
      </w:r>
      <w:r w:rsidRPr="007148A6">
        <w:rPr>
          <w:rFonts w:ascii="Arial" w:hAnsi="Arial" w:cs="Arial"/>
        </w:rPr>
        <w:t xml:space="preserve"> a </w:t>
      </w:r>
      <w:r w:rsidR="00AA2A6F" w:rsidRPr="007148A6">
        <w:rPr>
          <w:rFonts w:ascii="Arial" w:hAnsi="Arial" w:cs="Arial"/>
        </w:rPr>
        <w:t>é</w:t>
      </w:r>
      <w:r w:rsidRPr="007148A6">
        <w:rPr>
          <w:rFonts w:ascii="Arial" w:hAnsi="Arial" w:cs="Arial"/>
        </w:rPr>
        <w:t>ste</w:t>
      </w:r>
      <w:r w:rsidR="00026A1B" w:rsidRPr="007148A6">
        <w:rPr>
          <w:rStyle w:val="Refdenotaalpie"/>
          <w:rFonts w:ascii="Arial" w:hAnsi="Arial" w:cs="Arial"/>
        </w:rPr>
        <w:footnoteReference w:id="1"/>
      </w:r>
      <w:r w:rsidR="00AA2A6F" w:rsidRPr="007148A6">
        <w:rPr>
          <w:rFonts w:ascii="Arial" w:hAnsi="Arial" w:cs="Arial"/>
        </w:rPr>
        <w:t>,</w:t>
      </w:r>
      <w:r w:rsidR="00026A1B" w:rsidRPr="007148A6">
        <w:rPr>
          <w:rFonts w:ascii="Arial" w:hAnsi="Arial" w:cs="Arial"/>
        </w:rPr>
        <w:t xml:space="preserve"> alud</w:t>
      </w:r>
      <w:r w:rsidRPr="007148A6">
        <w:rPr>
          <w:rFonts w:ascii="Arial" w:hAnsi="Arial" w:cs="Arial"/>
        </w:rPr>
        <w:t>ieron</w:t>
      </w:r>
      <w:r w:rsidR="00026A1B" w:rsidRPr="007148A6">
        <w:rPr>
          <w:rFonts w:ascii="Arial" w:hAnsi="Arial" w:cs="Arial"/>
        </w:rPr>
        <w:t xml:space="preserve"> a la mora en el cumplimiento del plazo establecido en la Constitución Nacional para </w:t>
      </w:r>
      <w:r w:rsidR="00DC5A09" w:rsidRPr="007148A6">
        <w:rPr>
          <w:rFonts w:ascii="Arial" w:hAnsi="Arial" w:cs="Arial"/>
        </w:rPr>
        <w:t>sanciona</w:t>
      </w:r>
      <w:r w:rsidR="00026A1B" w:rsidRPr="007148A6">
        <w:rPr>
          <w:rFonts w:ascii="Arial" w:hAnsi="Arial" w:cs="Arial"/>
        </w:rPr>
        <w:t xml:space="preserve">r un nuevo régimen de coparticipación federal de impuestos entre </w:t>
      </w:r>
      <w:r w:rsidR="00FF16D1" w:rsidRPr="007148A6">
        <w:rPr>
          <w:rFonts w:ascii="Arial" w:hAnsi="Arial" w:cs="Arial"/>
        </w:rPr>
        <w:t xml:space="preserve">el gobierno nacional </w:t>
      </w:r>
      <w:r w:rsidR="00026A1B" w:rsidRPr="007148A6">
        <w:rPr>
          <w:rFonts w:ascii="Arial" w:hAnsi="Arial" w:cs="Arial"/>
        </w:rPr>
        <w:t>y las provincias, incluida la Ciudad Autónoma de Buenos Aires (CABA)</w:t>
      </w:r>
      <w:r w:rsidR="00AA2A6F" w:rsidRPr="007148A6">
        <w:rPr>
          <w:rFonts w:ascii="Arial" w:hAnsi="Arial" w:cs="Arial"/>
        </w:rPr>
        <w:t xml:space="preserve">, atendiendo a los lineamientos del Art. 75 de la Carta Magna. </w:t>
      </w:r>
      <w:r w:rsidRPr="007148A6">
        <w:rPr>
          <w:rFonts w:ascii="Arial" w:hAnsi="Arial" w:cs="Arial"/>
        </w:rPr>
        <w:t>Est</w:t>
      </w:r>
      <w:r w:rsidR="00AA2A6F" w:rsidRPr="007148A6">
        <w:rPr>
          <w:rFonts w:ascii="Arial" w:hAnsi="Arial" w:cs="Arial"/>
        </w:rPr>
        <w:t>e</w:t>
      </w:r>
      <w:r w:rsidRPr="007148A6">
        <w:rPr>
          <w:rFonts w:ascii="Arial" w:hAnsi="Arial" w:cs="Arial"/>
        </w:rPr>
        <w:t xml:space="preserve"> plazo </w:t>
      </w:r>
      <w:r w:rsidR="00AA2A6F" w:rsidRPr="007148A6">
        <w:rPr>
          <w:rFonts w:ascii="Arial" w:hAnsi="Arial" w:cs="Arial"/>
        </w:rPr>
        <w:t xml:space="preserve">está </w:t>
      </w:r>
      <w:r w:rsidRPr="007148A6">
        <w:rPr>
          <w:rFonts w:ascii="Arial" w:hAnsi="Arial" w:cs="Arial"/>
        </w:rPr>
        <w:t xml:space="preserve">dispuesto por </w:t>
      </w:r>
      <w:r w:rsidR="00026A1B" w:rsidRPr="007148A6">
        <w:rPr>
          <w:rFonts w:ascii="Arial" w:hAnsi="Arial" w:cs="Arial"/>
        </w:rPr>
        <w:t xml:space="preserve">la cláusula transitoria 6ta. </w:t>
      </w:r>
      <w:r w:rsidR="00AA2A6F" w:rsidRPr="007148A6">
        <w:rPr>
          <w:rFonts w:ascii="Arial" w:hAnsi="Arial" w:cs="Arial"/>
        </w:rPr>
        <w:t>por lo que la</w:t>
      </w:r>
      <w:r w:rsidR="00026A1B" w:rsidRPr="007148A6">
        <w:rPr>
          <w:rFonts w:ascii="Arial" w:hAnsi="Arial" w:cs="Arial"/>
        </w:rPr>
        <w:t xml:space="preserve"> mora alcanza ya casi un cuarto de siglo</w:t>
      </w:r>
      <w:r w:rsidR="00BF54B4" w:rsidRPr="007148A6">
        <w:rPr>
          <w:rFonts w:ascii="Arial" w:hAnsi="Arial" w:cs="Arial"/>
        </w:rPr>
        <w:t xml:space="preserve"> dado que </w:t>
      </w:r>
      <w:r w:rsidR="00AA2A6F" w:rsidRPr="007148A6">
        <w:rPr>
          <w:rFonts w:ascii="Arial" w:hAnsi="Arial" w:cs="Arial"/>
        </w:rPr>
        <w:t>dicho</w:t>
      </w:r>
      <w:r w:rsidR="00BF54B4" w:rsidRPr="007148A6">
        <w:rPr>
          <w:rFonts w:ascii="Arial" w:hAnsi="Arial" w:cs="Arial"/>
        </w:rPr>
        <w:t xml:space="preserve"> </w:t>
      </w:r>
      <w:r w:rsidR="00AA2A6F" w:rsidRPr="007148A6">
        <w:rPr>
          <w:rFonts w:ascii="Arial" w:hAnsi="Arial" w:cs="Arial"/>
        </w:rPr>
        <w:t>término</w:t>
      </w:r>
      <w:r w:rsidR="00BF54B4" w:rsidRPr="007148A6">
        <w:rPr>
          <w:rFonts w:ascii="Arial" w:hAnsi="Arial" w:cs="Arial"/>
        </w:rPr>
        <w:t xml:space="preserve"> </w:t>
      </w:r>
      <w:r w:rsidR="00606991" w:rsidRPr="007148A6">
        <w:rPr>
          <w:rFonts w:ascii="Arial" w:hAnsi="Arial" w:cs="Arial"/>
        </w:rPr>
        <w:t>se cumpl</w:t>
      </w:r>
      <w:r w:rsidR="00F02867" w:rsidRPr="007148A6">
        <w:rPr>
          <w:rFonts w:ascii="Arial" w:hAnsi="Arial" w:cs="Arial"/>
        </w:rPr>
        <w:t>ió</w:t>
      </w:r>
      <w:r w:rsidR="00BF54B4" w:rsidRPr="007148A6">
        <w:rPr>
          <w:rFonts w:ascii="Arial" w:hAnsi="Arial" w:cs="Arial"/>
        </w:rPr>
        <w:t xml:space="preserve"> a fines de 1996</w:t>
      </w:r>
      <w:r w:rsidR="00026A1B" w:rsidRPr="007148A6">
        <w:rPr>
          <w:rFonts w:ascii="Arial" w:hAnsi="Arial" w:cs="Arial"/>
        </w:rPr>
        <w:t>. Como en otros trabajos</w:t>
      </w:r>
      <w:r w:rsidR="00E849CD" w:rsidRPr="007148A6">
        <w:rPr>
          <w:rFonts w:ascii="Arial" w:hAnsi="Arial" w:cs="Arial"/>
        </w:rPr>
        <w:t xml:space="preserve"> </w:t>
      </w:r>
      <w:r w:rsidR="00DC5A09" w:rsidRPr="007148A6">
        <w:rPr>
          <w:rFonts w:ascii="Arial" w:hAnsi="Arial" w:cs="Arial"/>
        </w:rPr>
        <w:t>propios precedentes</w:t>
      </w:r>
      <w:r w:rsidR="00606991" w:rsidRPr="007148A6">
        <w:rPr>
          <w:rFonts w:ascii="Arial" w:hAnsi="Arial" w:cs="Arial"/>
        </w:rPr>
        <w:t xml:space="preserve"> al citado</w:t>
      </w:r>
      <w:r w:rsidR="00026A1B" w:rsidRPr="007148A6">
        <w:rPr>
          <w:rFonts w:ascii="Arial" w:hAnsi="Arial" w:cs="Arial"/>
        </w:rPr>
        <w:t xml:space="preserve">, se insistía </w:t>
      </w:r>
      <w:r w:rsidR="00AA2A6F" w:rsidRPr="007148A6">
        <w:rPr>
          <w:rFonts w:ascii="Arial" w:hAnsi="Arial" w:cs="Arial"/>
        </w:rPr>
        <w:t xml:space="preserve">en aquél </w:t>
      </w:r>
      <w:r w:rsidR="00026A1B" w:rsidRPr="007148A6">
        <w:rPr>
          <w:rFonts w:ascii="Arial" w:hAnsi="Arial" w:cs="Arial"/>
        </w:rPr>
        <w:t xml:space="preserve">en la necesidad de diseñar los indicadores objetivos de distribución y </w:t>
      </w:r>
      <w:r w:rsidR="0034604A" w:rsidRPr="007148A6">
        <w:rPr>
          <w:rFonts w:ascii="Arial" w:hAnsi="Arial" w:cs="Arial"/>
        </w:rPr>
        <w:t xml:space="preserve">se </w:t>
      </w:r>
      <w:r w:rsidR="00026A1B" w:rsidRPr="007148A6">
        <w:rPr>
          <w:rFonts w:ascii="Arial" w:hAnsi="Arial" w:cs="Arial"/>
        </w:rPr>
        <w:t xml:space="preserve">aportaba la inclusión de incentivos de responsabilidad fiscal para así atender en forma más efectiva los criterios de eficiencia y equidad que reclama la norma. </w:t>
      </w:r>
    </w:p>
    <w:p w14:paraId="5035D944" w14:textId="77777777" w:rsidR="00582947" w:rsidRPr="007148A6" w:rsidRDefault="00582947" w:rsidP="005E08AA">
      <w:pPr>
        <w:pStyle w:val="Prrafodelista"/>
        <w:spacing w:after="0" w:line="240" w:lineRule="auto"/>
        <w:ind w:left="0"/>
        <w:jc w:val="both"/>
        <w:rPr>
          <w:rFonts w:ascii="Arial" w:hAnsi="Arial" w:cs="Arial"/>
        </w:rPr>
      </w:pPr>
    </w:p>
    <w:p w14:paraId="0821F986" w14:textId="4EED86E4" w:rsidR="00026A1B" w:rsidRPr="007148A6" w:rsidRDefault="00026A1B" w:rsidP="005E08AA">
      <w:pPr>
        <w:pStyle w:val="Prrafodelista"/>
        <w:spacing w:before="120" w:after="120"/>
        <w:ind w:left="0"/>
        <w:jc w:val="both"/>
        <w:rPr>
          <w:rFonts w:ascii="Arial" w:hAnsi="Arial" w:cs="Arial"/>
        </w:rPr>
      </w:pPr>
      <w:r w:rsidRPr="007148A6">
        <w:rPr>
          <w:rFonts w:ascii="Arial" w:hAnsi="Arial" w:cs="Arial"/>
        </w:rPr>
        <w:t xml:space="preserve">En </w:t>
      </w:r>
      <w:r w:rsidR="00606991" w:rsidRPr="007148A6">
        <w:rPr>
          <w:rFonts w:ascii="Arial" w:hAnsi="Arial" w:cs="Arial"/>
        </w:rPr>
        <w:t>el</w:t>
      </w:r>
      <w:r w:rsidRPr="007148A6">
        <w:rPr>
          <w:rFonts w:ascii="Arial" w:hAnsi="Arial" w:cs="Arial"/>
        </w:rPr>
        <w:t xml:space="preserve"> artículo presentado</w:t>
      </w:r>
      <w:r w:rsidR="00606991" w:rsidRPr="007148A6">
        <w:rPr>
          <w:rFonts w:ascii="Arial" w:hAnsi="Arial" w:cs="Arial"/>
        </w:rPr>
        <w:t xml:space="preserve"> en 2019</w:t>
      </w:r>
      <w:r w:rsidRPr="007148A6">
        <w:rPr>
          <w:rFonts w:ascii="Arial" w:hAnsi="Arial" w:cs="Arial"/>
        </w:rPr>
        <w:t>, además de profundizar lo tratado en los anteriores sobre distribución secundaria, se</w:t>
      </w:r>
      <w:r w:rsidR="00582947" w:rsidRPr="007148A6">
        <w:rPr>
          <w:rFonts w:ascii="Arial" w:hAnsi="Arial" w:cs="Arial"/>
        </w:rPr>
        <w:t xml:space="preserve"> volvió a </w:t>
      </w:r>
      <w:r w:rsidRPr="007148A6">
        <w:rPr>
          <w:rFonts w:ascii="Arial" w:hAnsi="Arial" w:cs="Arial"/>
        </w:rPr>
        <w:t>incursion</w:t>
      </w:r>
      <w:r w:rsidR="00582947" w:rsidRPr="007148A6">
        <w:rPr>
          <w:rFonts w:ascii="Arial" w:hAnsi="Arial" w:cs="Arial"/>
        </w:rPr>
        <w:t>ar</w:t>
      </w:r>
      <w:r w:rsidRPr="007148A6">
        <w:rPr>
          <w:rFonts w:ascii="Arial" w:hAnsi="Arial" w:cs="Arial"/>
        </w:rPr>
        <w:t xml:space="preserve"> en el tratamiento de la masa coparticipable y la distribución primaria</w:t>
      </w:r>
      <w:r w:rsidR="005F0498" w:rsidRPr="007148A6">
        <w:rPr>
          <w:rStyle w:val="Refdenotaalpie"/>
          <w:rFonts w:ascii="Arial" w:hAnsi="Arial" w:cs="Arial"/>
        </w:rPr>
        <w:footnoteReference w:id="2"/>
      </w:r>
      <w:r w:rsidRPr="007148A6">
        <w:rPr>
          <w:rFonts w:ascii="Arial" w:hAnsi="Arial" w:cs="Arial"/>
        </w:rPr>
        <w:t>.</w:t>
      </w:r>
    </w:p>
    <w:p w14:paraId="1A6E2E3F" w14:textId="16F81A37" w:rsidR="00026A1B" w:rsidRPr="007148A6" w:rsidRDefault="00026A1B" w:rsidP="00026A1B">
      <w:pPr>
        <w:spacing w:before="120" w:after="120"/>
        <w:jc w:val="both"/>
        <w:rPr>
          <w:rFonts w:ascii="Arial" w:hAnsi="Arial" w:cs="Arial"/>
        </w:rPr>
      </w:pPr>
      <w:r w:rsidRPr="007148A6">
        <w:rPr>
          <w:rFonts w:ascii="Arial" w:hAnsi="Arial" w:cs="Arial"/>
        </w:rPr>
        <w:t xml:space="preserve">En el presente trabajo se </w:t>
      </w:r>
      <w:r w:rsidR="00606991" w:rsidRPr="007148A6">
        <w:rPr>
          <w:rFonts w:ascii="Arial" w:hAnsi="Arial" w:cs="Arial"/>
        </w:rPr>
        <w:t>insiste</w:t>
      </w:r>
      <w:r w:rsidRPr="007148A6">
        <w:rPr>
          <w:rFonts w:ascii="Arial" w:hAnsi="Arial" w:cs="Arial"/>
        </w:rPr>
        <w:t xml:space="preserve"> en estos aspectos y</w:t>
      </w:r>
      <w:r w:rsidR="00582947" w:rsidRPr="007148A6">
        <w:rPr>
          <w:rFonts w:ascii="Arial" w:hAnsi="Arial" w:cs="Arial"/>
        </w:rPr>
        <w:t>, como se menciona en el anterior, se procura</w:t>
      </w:r>
      <w:r w:rsidRPr="007148A6">
        <w:rPr>
          <w:rFonts w:ascii="Arial" w:hAnsi="Arial" w:cs="Arial"/>
        </w:rPr>
        <w:t xml:space="preserve"> avanzar en una nueva propuesta que </w:t>
      </w:r>
      <w:r w:rsidR="00582947" w:rsidRPr="007148A6">
        <w:rPr>
          <w:rFonts w:ascii="Arial" w:hAnsi="Arial" w:cs="Arial"/>
        </w:rPr>
        <w:t>también tenga en cuenta</w:t>
      </w:r>
      <w:r w:rsidRPr="007148A6">
        <w:rPr>
          <w:rFonts w:ascii="Arial" w:hAnsi="Arial" w:cs="Arial"/>
        </w:rPr>
        <w:t xml:space="preserve"> la trasparencia y previsibilidad del sistema tributario. </w:t>
      </w:r>
      <w:r w:rsidR="00582947" w:rsidRPr="007148A6">
        <w:rPr>
          <w:rFonts w:ascii="Arial" w:hAnsi="Arial" w:cs="Arial"/>
        </w:rPr>
        <w:t xml:space="preserve">A pesar de diversas propuestas de distintos </w:t>
      </w:r>
      <w:r w:rsidRPr="007148A6">
        <w:rPr>
          <w:rFonts w:ascii="Arial" w:hAnsi="Arial" w:cs="Arial"/>
        </w:rPr>
        <w:t>autores</w:t>
      </w:r>
      <w:r w:rsidRPr="007148A6">
        <w:rPr>
          <w:rStyle w:val="Refdenotaalpie"/>
          <w:rFonts w:ascii="Arial" w:hAnsi="Arial" w:cs="Arial"/>
        </w:rPr>
        <w:footnoteReference w:id="3"/>
      </w:r>
      <w:r w:rsidRPr="007148A6">
        <w:rPr>
          <w:rFonts w:ascii="Arial" w:hAnsi="Arial" w:cs="Arial"/>
        </w:rPr>
        <w:t xml:space="preserve"> y </w:t>
      </w:r>
      <w:r w:rsidR="00582947" w:rsidRPr="007148A6">
        <w:rPr>
          <w:rFonts w:ascii="Arial" w:hAnsi="Arial" w:cs="Arial"/>
        </w:rPr>
        <w:t xml:space="preserve">de la tarea realizada en </w:t>
      </w:r>
      <w:r w:rsidRPr="007148A6">
        <w:rPr>
          <w:rFonts w:ascii="Arial" w:hAnsi="Arial" w:cs="Arial"/>
        </w:rPr>
        <w:t>la Comisión Federal de Impuestos</w:t>
      </w:r>
      <w:r w:rsidR="00582947" w:rsidRPr="007148A6">
        <w:rPr>
          <w:rFonts w:ascii="Arial" w:hAnsi="Arial" w:cs="Arial"/>
        </w:rPr>
        <w:t xml:space="preserve">, la que ha dispuesto la conformación de </w:t>
      </w:r>
      <w:r w:rsidRPr="007148A6">
        <w:rPr>
          <w:rFonts w:ascii="Arial" w:hAnsi="Arial" w:cs="Arial"/>
        </w:rPr>
        <w:t xml:space="preserve">dos comisiones </w:t>
      </w:r>
      <w:r w:rsidR="00582947" w:rsidRPr="007148A6">
        <w:rPr>
          <w:rFonts w:ascii="Arial" w:hAnsi="Arial" w:cs="Arial"/>
        </w:rPr>
        <w:t>para</w:t>
      </w:r>
      <w:r w:rsidRPr="007148A6">
        <w:rPr>
          <w:rFonts w:ascii="Arial" w:hAnsi="Arial" w:cs="Arial"/>
        </w:rPr>
        <w:t xml:space="preserve"> estudia</w:t>
      </w:r>
      <w:r w:rsidR="00582947" w:rsidRPr="007148A6">
        <w:rPr>
          <w:rFonts w:ascii="Arial" w:hAnsi="Arial" w:cs="Arial"/>
        </w:rPr>
        <w:t>r</w:t>
      </w:r>
      <w:r w:rsidRPr="007148A6">
        <w:rPr>
          <w:rFonts w:ascii="Arial" w:hAnsi="Arial" w:cs="Arial"/>
        </w:rPr>
        <w:t xml:space="preserve"> el tema, </w:t>
      </w:r>
      <w:r w:rsidR="00582947" w:rsidRPr="007148A6">
        <w:rPr>
          <w:rFonts w:ascii="Arial" w:hAnsi="Arial" w:cs="Arial"/>
        </w:rPr>
        <w:t xml:space="preserve">una con el objetivo principal de tratar la distribución primaria y la otra la secundaria, aún no </w:t>
      </w:r>
      <w:r w:rsidR="00095BDC" w:rsidRPr="007148A6">
        <w:rPr>
          <w:rFonts w:ascii="Arial" w:hAnsi="Arial" w:cs="Arial"/>
        </w:rPr>
        <w:t>se ha materializado un</w:t>
      </w:r>
      <w:r w:rsidRPr="007148A6">
        <w:rPr>
          <w:rFonts w:ascii="Arial" w:hAnsi="Arial" w:cs="Arial"/>
        </w:rPr>
        <w:t xml:space="preserve"> proyecto en estado </w:t>
      </w:r>
      <w:r w:rsidR="00095BDC" w:rsidRPr="007148A6">
        <w:rPr>
          <w:rFonts w:ascii="Arial" w:hAnsi="Arial" w:cs="Arial"/>
        </w:rPr>
        <w:t>parlamentario o, al menos, publicado</w:t>
      </w:r>
      <w:r w:rsidRPr="007148A6">
        <w:rPr>
          <w:rFonts w:ascii="Arial" w:hAnsi="Arial" w:cs="Arial"/>
        </w:rPr>
        <w:t>.</w:t>
      </w:r>
    </w:p>
    <w:p w14:paraId="0FF0F2F1" w14:textId="5BF23467" w:rsidR="00026A1B" w:rsidRPr="007148A6" w:rsidRDefault="00550E87" w:rsidP="00026A1B">
      <w:pPr>
        <w:spacing w:before="120" w:after="120"/>
        <w:jc w:val="both"/>
        <w:rPr>
          <w:rFonts w:ascii="Arial" w:hAnsi="Arial" w:cs="Arial"/>
        </w:rPr>
      </w:pPr>
      <w:r w:rsidRPr="007148A6">
        <w:rPr>
          <w:rFonts w:ascii="Arial" w:hAnsi="Arial" w:cs="Arial"/>
        </w:rPr>
        <w:t>A pesar de ello</w:t>
      </w:r>
      <w:r w:rsidR="00026A1B" w:rsidRPr="007148A6">
        <w:rPr>
          <w:rFonts w:ascii="Arial" w:hAnsi="Arial" w:cs="Arial"/>
        </w:rPr>
        <w:t xml:space="preserve">, </w:t>
      </w:r>
      <w:r w:rsidR="00E849CD" w:rsidRPr="007148A6">
        <w:rPr>
          <w:rFonts w:ascii="Arial" w:hAnsi="Arial" w:cs="Arial"/>
        </w:rPr>
        <w:t xml:space="preserve">en los últimos años </w:t>
      </w:r>
      <w:r w:rsidR="00026A1B" w:rsidRPr="007148A6">
        <w:rPr>
          <w:rFonts w:ascii="Arial" w:hAnsi="Arial" w:cs="Arial"/>
        </w:rPr>
        <w:t xml:space="preserve">se han </w:t>
      </w:r>
      <w:r w:rsidRPr="007148A6">
        <w:rPr>
          <w:rFonts w:ascii="Arial" w:hAnsi="Arial" w:cs="Arial"/>
        </w:rPr>
        <w:t>dispuesto diversas</w:t>
      </w:r>
      <w:r w:rsidR="00026A1B" w:rsidRPr="007148A6">
        <w:rPr>
          <w:rFonts w:ascii="Arial" w:hAnsi="Arial" w:cs="Arial"/>
        </w:rPr>
        <w:t xml:space="preserve"> reformas en el régimen vigente </w:t>
      </w:r>
      <w:r w:rsidRPr="007148A6">
        <w:rPr>
          <w:rFonts w:ascii="Arial" w:hAnsi="Arial" w:cs="Arial"/>
        </w:rPr>
        <w:t>de</w:t>
      </w:r>
      <w:r w:rsidR="00026A1B" w:rsidRPr="007148A6">
        <w:rPr>
          <w:rFonts w:ascii="Arial" w:hAnsi="Arial" w:cs="Arial"/>
        </w:rPr>
        <w:t xml:space="preserve"> la Ley 23</w:t>
      </w:r>
      <w:r w:rsidR="00095BDC" w:rsidRPr="007148A6">
        <w:rPr>
          <w:rFonts w:ascii="Arial" w:hAnsi="Arial" w:cs="Arial"/>
        </w:rPr>
        <w:t>.</w:t>
      </w:r>
      <w:r w:rsidR="00026A1B" w:rsidRPr="007148A6">
        <w:rPr>
          <w:rFonts w:ascii="Arial" w:hAnsi="Arial" w:cs="Arial"/>
        </w:rPr>
        <w:t>548 y sus modificatorias, referidas a la participación de la Ciudad Autónoma de Buenos Aires (</w:t>
      </w:r>
      <w:r w:rsidRPr="007148A6">
        <w:rPr>
          <w:rFonts w:ascii="Arial" w:hAnsi="Arial" w:cs="Arial"/>
        </w:rPr>
        <w:t>derivadas de</w:t>
      </w:r>
      <w:r w:rsidR="00026A1B" w:rsidRPr="007148A6">
        <w:rPr>
          <w:rFonts w:ascii="Arial" w:hAnsi="Arial" w:cs="Arial"/>
        </w:rPr>
        <w:t xml:space="preserve"> la transferencia de servicios locales anteriormente atendidos por el gobierno nacional</w:t>
      </w:r>
      <w:r w:rsidRPr="007148A6">
        <w:rPr>
          <w:rFonts w:ascii="Arial" w:hAnsi="Arial" w:cs="Arial"/>
        </w:rPr>
        <w:t xml:space="preserve"> en esa jurisdicción</w:t>
      </w:r>
      <w:r w:rsidR="00026A1B" w:rsidRPr="007148A6">
        <w:rPr>
          <w:rFonts w:ascii="Arial" w:hAnsi="Arial" w:cs="Arial"/>
        </w:rPr>
        <w:t xml:space="preserve">, </w:t>
      </w:r>
      <w:r w:rsidRPr="007148A6">
        <w:rPr>
          <w:rFonts w:ascii="Arial" w:hAnsi="Arial" w:cs="Arial"/>
        </w:rPr>
        <w:t>atendiendo a</w:t>
      </w:r>
      <w:r w:rsidR="00DC5A09" w:rsidRPr="007148A6">
        <w:rPr>
          <w:rFonts w:ascii="Arial" w:hAnsi="Arial" w:cs="Arial"/>
        </w:rPr>
        <w:t xml:space="preserve"> lo dispuesto en el penúltimo párrafo del inciso 2 del artículo 75 y en</w:t>
      </w:r>
      <w:r w:rsidR="00026A1B" w:rsidRPr="007148A6">
        <w:rPr>
          <w:rFonts w:ascii="Arial" w:hAnsi="Arial" w:cs="Arial"/>
        </w:rPr>
        <w:t xml:space="preserve"> la cláusula transitoria sexta mencionada, que </w:t>
      </w:r>
      <w:r w:rsidRPr="007148A6">
        <w:rPr>
          <w:rFonts w:ascii="Arial" w:hAnsi="Arial" w:cs="Arial"/>
        </w:rPr>
        <w:t xml:space="preserve">disponen la obligatoriedad de </w:t>
      </w:r>
      <w:r w:rsidR="00026A1B" w:rsidRPr="007148A6">
        <w:rPr>
          <w:rFonts w:ascii="Arial" w:hAnsi="Arial" w:cs="Arial"/>
        </w:rPr>
        <w:t xml:space="preserve"> </w:t>
      </w:r>
      <w:r w:rsidRPr="007148A6">
        <w:rPr>
          <w:rFonts w:ascii="Arial" w:hAnsi="Arial" w:cs="Arial"/>
        </w:rPr>
        <w:t>aportar los recursos necesarios para atenderlos si se llegaran</w:t>
      </w:r>
      <w:r w:rsidR="00026A1B" w:rsidRPr="007148A6">
        <w:rPr>
          <w:rFonts w:ascii="Arial" w:hAnsi="Arial" w:cs="Arial"/>
        </w:rPr>
        <w:t xml:space="preserve"> transferir servicios adicionales a las jurisdicciones de este nivel ) y a la eliminación del sistema previsional como partícipe del sistema. </w:t>
      </w:r>
    </w:p>
    <w:p w14:paraId="29A4C90A" w14:textId="531CF8F9" w:rsidR="00026A1B" w:rsidRPr="007148A6" w:rsidRDefault="00026A1B" w:rsidP="001D13C9">
      <w:pPr>
        <w:spacing w:after="120"/>
        <w:jc w:val="both"/>
        <w:rPr>
          <w:rFonts w:ascii="Arial" w:hAnsi="Arial" w:cs="Arial"/>
        </w:rPr>
      </w:pPr>
      <w:r w:rsidRPr="007148A6">
        <w:rPr>
          <w:rFonts w:ascii="Arial" w:hAnsi="Arial" w:cs="Arial"/>
        </w:rPr>
        <w:t>La importancia del tema se explica por su propio objetivo</w:t>
      </w:r>
      <w:r w:rsidR="005F0498" w:rsidRPr="007148A6">
        <w:rPr>
          <w:rFonts w:ascii="Arial" w:hAnsi="Arial" w:cs="Arial"/>
        </w:rPr>
        <w:t>: e</w:t>
      </w:r>
      <w:r w:rsidRPr="007148A6">
        <w:rPr>
          <w:rFonts w:ascii="Arial" w:hAnsi="Arial" w:cs="Arial"/>
        </w:rPr>
        <w:t>l régimen actual de coparticipación federal de impuesto</w:t>
      </w:r>
      <w:r w:rsidR="005F0498" w:rsidRPr="007148A6">
        <w:rPr>
          <w:rFonts w:ascii="Arial" w:hAnsi="Arial" w:cs="Arial"/>
        </w:rPr>
        <w:t>s</w:t>
      </w:r>
      <w:r w:rsidRPr="007148A6">
        <w:rPr>
          <w:rFonts w:ascii="Arial" w:hAnsi="Arial" w:cs="Arial"/>
        </w:rPr>
        <w:t xml:space="preserve"> establecido por la Ley 23.548, vigente desde principios de 1988, y sus modificatorias, no se ajusta a lo establecido por la Constitución Nacional en su reforma de 1994 (Art. 75, inciso 2) en relación a criterios objetivos de reparto que distribuyan las recaudaciones </w:t>
      </w:r>
      <w:r w:rsidRPr="007148A6">
        <w:rPr>
          <w:rFonts w:ascii="Arial" w:hAnsi="Arial" w:cs="Arial"/>
        </w:rPr>
        <w:lastRenderedPageBreak/>
        <w:t>tributarias “entre la Nación, las provincias y la ciudad de Buenos Aires y entre éstas</w:t>
      </w:r>
      <w:r w:rsidR="005F0498" w:rsidRPr="007148A6">
        <w:rPr>
          <w:rFonts w:ascii="Arial" w:hAnsi="Arial" w:cs="Arial"/>
        </w:rPr>
        <w:t>” q</w:t>
      </w:r>
      <w:r w:rsidR="00515B37" w:rsidRPr="007148A6">
        <w:rPr>
          <w:rFonts w:ascii="Arial" w:hAnsi="Arial" w:cs="Arial"/>
        </w:rPr>
        <w:t>ue debe</w:t>
      </w:r>
      <w:r w:rsidRPr="007148A6">
        <w:rPr>
          <w:rFonts w:ascii="Arial" w:hAnsi="Arial" w:cs="Arial"/>
        </w:rPr>
        <w:t xml:space="preserve"> efectuar</w:t>
      </w:r>
      <w:r w:rsidR="00515B37" w:rsidRPr="007148A6">
        <w:rPr>
          <w:rFonts w:ascii="Arial" w:hAnsi="Arial" w:cs="Arial"/>
        </w:rPr>
        <w:t>se</w:t>
      </w:r>
      <w:r w:rsidRPr="007148A6">
        <w:rPr>
          <w:rFonts w:ascii="Arial" w:hAnsi="Arial" w:cs="Arial"/>
        </w:rPr>
        <w:t xml:space="preserve"> </w:t>
      </w:r>
      <w:r w:rsidR="00515B37" w:rsidRPr="007148A6">
        <w:rPr>
          <w:rFonts w:ascii="Arial" w:hAnsi="Arial" w:cs="Arial"/>
        </w:rPr>
        <w:t>“</w:t>
      </w:r>
      <w:r w:rsidRPr="007148A6">
        <w:rPr>
          <w:rFonts w:ascii="Arial" w:hAnsi="Arial" w:cs="Arial"/>
        </w:rPr>
        <w:t>en relación directa a las competencias, servicios y funciones de cada una de ellas contemplando criterio</w:t>
      </w:r>
      <w:r w:rsidR="005B6190" w:rsidRPr="007148A6">
        <w:rPr>
          <w:rFonts w:ascii="Arial" w:hAnsi="Arial" w:cs="Arial"/>
        </w:rPr>
        <w:t>s</w:t>
      </w:r>
      <w:r w:rsidRPr="007148A6">
        <w:rPr>
          <w:rFonts w:ascii="Arial" w:hAnsi="Arial" w:cs="Arial"/>
        </w:rPr>
        <w:t xml:space="preserve"> objetivos de reparto</w:t>
      </w:r>
      <w:r w:rsidR="00515B37" w:rsidRPr="007148A6">
        <w:rPr>
          <w:rFonts w:ascii="Arial" w:hAnsi="Arial" w:cs="Arial"/>
        </w:rPr>
        <w:t>” y debe cumplir las condiciones de ser</w:t>
      </w:r>
      <w:r w:rsidRPr="007148A6">
        <w:rPr>
          <w:rFonts w:ascii="Arial" w:hAnsi="Arial" w:cs="Arial"/>
        </w:rPr>
        <w:t xml:space="preserve"> equitativa, solidaria y dar </w:t>
      </w:r>
      <w:r w:rsidR="00515B37" w:rsidRPr="007148A6">
        <w:rPr>
          <w:rFonts w:ascii="Arial" w:hAnsi="Arial" w:cs="Arial"/>
        </w:rPr>
        <w:t>“</w:t>
      </w:r>
      <w:r w:rsidRPr="007148A6">
        <w:rPr>
          <w:rFonts w:ascii="Arial" w:hAnsi="Arial" w:cs="Arial"/>
        </w:rPr>
        <w:t xml:space="preserve">prioridad al logro de un grado equivalente de desarrollo, calidad de vida e igualdad de oportunidades en todo el territorio nacional”. </w:t>
      </w:r>
    </w:p>
    <w:p w14:paraId="31C15508" w14:textId="770C1F52" w:rsidR="00026A1B" w:rsidRPr="007148A6" w:rsidRDefault="00026A1B" w:rsidP="00026A1B">
      <w:pPr>
        <w:jc w:val="both"/>
        <w:rPr>
          <w:rFonts w:ascii="Arial" w:hAnsi="Arial" w:cs="Arial"/>
        </w:rPr>
      </w:pPr>
      <w:r w:rsidRPr="007148A6">
        <w:rPr>
          <w:rFonts w:ascii="Arial" w:hAnsi="Arial" w:cs="Arial"/>
        </w:rPr>
        <w:t xml:space="preserve">Ya </w:t>
      </w:r>
      <w:r w:rsidR="00515B37" w:rsidRPr="007148A6">
        <w:rPr>
          <w:rFonts w:ascii="Arial" w:hAnsi="Arial" w:cs="Arial"/>
        </w:rPr>
        <w:t>los autores del presente y otros colaboradores citados</w:t>
      </w:r>
      <w:r w:rsidRPr="007148A6">
        <w:rPr>
          <w:rFonts w:ascii="Arial" w:hAnsi="Arial" w:cs="Arial"/>
        </w:rPr>
        <w:t xml:space="preserve"> ha</w:t>
      </w:r>
      <w:r w:rsidR="00515B37" w:rsidRPr="007148A6">
        <w:rPr>
          <w:rFonts w:ascii="Arial" w:hAnsi="Arial" w:cs="Arial"/>
        </w:rPr>
        <w:t>n</w:t>
      </w:r>
      <w:r w:rsidRPr="007148A6">
        <w:rPr>
          <w:rFonts w:ascii="Arial" w:hAnsi="Arial" w:cs="Arial"/>
        </w:rPr>
        <w:t xml:space="preserve"> presentado propuestas que, además de seguir los lineamientos constitucionales</w:t>
      </w:r>
      <w:r w:rsidR="00515B37" w:rsidRPr="007148A6">
        <w:rPr>
          <w:rFonts w:ascii="Arial" w:hAnsi="Arial" w:cs="Arial"/>
        </w:rPr>
        <w:t>,</w:t>
      </w:r>
      <w:r w:rsidRPr="007148A6">
        <w:rPr>
          <w:rFonts w:ascii="Arial" w:hAnsi="Arial" w:cs="Arial"/>
        </w:rPr>
        <w:t xml:space="preserve"> ha</w:t>
      </w:r>
      <w:r w:rsidR="00515B37" w:rsidRPr="007148A6">
        <w:rPr>
          <w:rFonts w:ascii="Arial" w:hAnsi="Arial" w:cs="Arial"/>
        </w:rPr>
        <w:t>n</w:t>
      </w:r>
      <w:r w:rsidRPr="007148A6">
        <w:rPr>
          <w:rFonts w:ascii="Arial" w:hAnsi="Arial" w:cs="Arial"/>
        </w:rPr>
        <w:t xml:space="preserve"> agregado objetivos de responsabilidad fiscal en pro de incentivar el buen desempeño fiscal de los gobiernos subnacionales. El presente </w:t>
      </w:r>
      <w:r w:rsidR="00C804D1" w:rsidRPr="007148A6">
        <w:rPr>
          <w:rFonts w:ascii="Arial" w:hAnsi="Arial" w:cs="Arial"/>
        </w:rPr>
        <w:t>trabajo</w:t>
      </w:r>
      <w:r w:rsidRPr="007148A6">
        <w:rPr>
          <w:rFonts w:ascii="Arial" w:hAnsi="Arial" w:cs="Arial"/>
        </w:rPr>
        <w:t xml:space="preserve"> avanza hacia una propuesta más elaborada y actualizada con nuevos componentes</w:t>
      </w:r>
      <w:r w:rsidR="00515B37" w:rsidRPr="007148A6">
        <w:rPr>
          <w:rFonts w:ascii="Arial" w:hAnsi="Arial" w:cs="Arial"/>
        </w:rPr>
        <w:t xml:space="preserve"> y con </w:t>
      </w:r>
      <w:r w:rsidR="001D13C9" w:rsidRPr="007148A6">
        <w:rPr>
          <w:rFonts w:ascii="Arial" w:hAnsi="Arial" w:cs="Arial"/>
        </w:rPr>
        <w:t>comentarios</w:t>
      </w:r>
      <w:r w:rsidR="00515B37" w:rsidRPr="007148A6">
        <w:rPr>
          <w:rFonts w:ascii="Arial" w:hAnsi="Arial" w:cs="Arial"/>
        </w:rPr>
        <w:t xml:space="preserve"> </w:t>
      </w:r>
      <w:r w:rsidR="00606991" w:rsidRPr="007148A6">
        <w:rPr>
          <w:rFonts w:ascii="Arial" w:hAnsi="Arial" w:cs="Arial"/>
        </w:rPr>
        <w:t xml:space="preserve">adicionales </w:t>
      </w:r>
      <w:r w:rsidR="00515B37" w:rsidRPr="007148A6">
        <w:rPr>
          <w:rFonts w:ascii="Arial" w:hAnsi="Arial" w:cs="Arial"/>
        </w:rPr>
        <w:t>sobre contribuciones de otros autores</w:t>
      </w:r>
      <w:r w:rsidR="00515B37" w:rsidRPr="007148A6">
        <w:rPr>
          <w:rStyle w:val="Refdenotaalpie"/>
          <w:rFonts w:ascii="Arial" w:hAnsi="Arial" w:cs="Arial"/>
        </w:rPr>
        <w:footnoteReference w:id="4"/>
      </w:r>
      <w:r w:rsidRPr="007148A6">
        <w:rPr>
          <w:rFonts w:ascii="Arial" w:hAnsi="Arial" w:cs="Arial"/>
        </w:rPr>
        <w:t>.</w:t>
      </w:r>
    </w:p>
    <w:p w14:paraId="60E7E9EC" w14:textId="77777777" w:rsidR="005F01DA" w:rsidRPr="007148A6" w:rsidRDefault="005F01DA" w:rsidP="005F01DA">
      <w:pPr>
        <w:pStyle w:val="Prrafodelista"/>
        <w:numPr>
          <w:ilvl w:val="0"/>
          <w:numId w:val="1"/>
        </w:numPr>
        <w:jc w:val="both"/>
        <w:rPr>
          <w:rFonts w:ascii="Arial" w:hAnsi="Arial" w:cs="Arial"/>
          <w:b/>
          <w:bCs/>
        </w:rPr>
      </w:pPr>
      <w:r w:rsidRPr="007148A6">
        <w:rPr>
          <w:rFonts w:ascii="Arial" w:hAnsi="Arial" w:cs="Arial"/>
          <w:b/>
          <w:bCs/>
        </w:rPr>
        <w:t>Una discusión acerca de si es obligatorio o no dictar una nueva ley de coparticipación federal de impuestos</w:t>
      </w:r>
    </w:p>
    <w:p w14:paraId="3C05F0A8" w14:textId="27983FBE" w:rsidR="00026A1B" w:rsidRPr="007148A6" w:rsidRDefault="005F01DA" w:rsidP="00C22C0F">
      <w:pPr>
        <w:spacing w:before="120" w:after="120"/>
        <w:jc w:val="both"/>
        <w:rPr>
          <w:rFonts w:ascii="Arial" w:hAnsi="Arial" w:cs="Arial"/>
        </w:rPr>
      </w:pPr>
      <w:r w:rsidRPr="007148A6">
        <w:rPr>
          <w:rFonts w:ascii="Arial" w:hAnsi="Arial" w:cs="Arial"/>
        </w:rPr>
        <w:t xml:space="preserve">En el trabajo citado del Consejo Empresario Argentino </w:t>
      </w:r>
      <w:r w:rsidR="00C22C0F" w:rsidRPr="007148A6">
        <w:rPr>
          <w:rFonts w:ascii="Arial" w:hAnsi="Arial" w:cs="Arial"/>
        </w:rPr>
        <w:t>(CEA)</w:t>
      </w:r>
      <w:r w:rsidR="001D13C9" w:rsidRPr="007148A6">
        <w:rPr>
          <w:rFonts w:ascii="Arial" w:hAnsi="Arial" w:cs="Arial"/>
        </w:rPr>
        <w:t>,</w:t>
      </w:r>
      <w:r w:rsidR="00C22C0F" w:rsidRPr="007148A6">
        <w:rPr>
          <w:rFonts w:ascii="Arial" w:hAnsi="Arial" w:cs="Arial"/>
        </w:rPr>
        <w:t xml:space="preserve"> </w:t>
      </w:r>
      <w:r w:rsidRPr="007148A6">
        <w:rPr>
          <w:rFonts w:ascii="Arial" w:hAnsi="Arial" w:cs="Arial"/>
        </w:rPr>
        <w:t xml:space="preserve">un prestigioso jurista que participó en el mismo, </w:t>
      </w:r>
      <w:r w:rsidR="00863F3F" w:rsidRPr="007148A6">
        <w:rPr>
          <w:rFonts w:ascii="Arial" w:hAnsi="Arial" w:cs="Arial"/>
        </w:rPr>
        <w:t xml:space="preserve">Enrique Bulit Goñi, quien fuera durante años asesor jurídico de la Comisión Federal de Impuestos, sostiene que no surge de la disposición constitucional la obligatoriedad de dictar una ley de coparticipación federal, si no que la norma establece las pautas a las que debe ajustarse </w:t>
      </w:r>
      <w:r w:rsidR="00C22C0F" w:rsidRPr="007148A6">
        <w:rPr>
          <w:rFonts w:ascii="Arial" w:hAnsi="Arial" w:cs="Arial"/>
        </w:rPr>
        <w:t>en caso de que</w:t>
      </w:r>
      <w:r w:rsidR="00863F3F" w:rsidRPr="007148A6">
        <w:rPr>
          <w:rFonts w:ascii="Arial" w:hAnsi="Arial" w:cs="Arial"/>
        </w:rPr>
        <w:t xml:space="preserve"> se dicte</w:t>
      </w:r>
      <w:r w:rsidR="00863F3F" w:rsidRPr="007148A6">
        <w:rPr>
          <w:rStyle w:val="Refdenotaalpie"/>
          <w:rFonts w:ascii="Arial" w:hAnsi="Arial" w:cs="Arial"/>
        </w:rPr>
        <w:footnoteReference w:id="5"/>
      </w:r>
      <w:r w:rsidR="00863F3F" w:rsidRPr="007148A6">
        <w:rPr>
          <w:rFonts w:ascii="Arial" w:hAnsi="Arial" w:cs="Arial"/>
        </w:rPr>
        <w:t>.</w:t>
      </w:r>
    </w:p>
    <w:p w14:paraId="69424D37" w14:textId="7096747B" w:rsidR="00C22C0F" w:rsidRPr="007148A6" w:rsidRDefault="00C22C0F" w:rsidP="00C22C0F">
      <w:pPr>
        <w:spacing w:before="120" w:after="120"/>
        <w:jc w:val="both"/>
        <w:rPr>
          <w:rFonts w:ascii="Arial" w:hAnsi="Arial" w:cs="Arial"/>
        </w:rPr>
      </w:pPr>
      <w:r w:rsidRPr="007148A6">
        <w:rPr>
          <w:rFonts w:ascii="Arial" w:hAnsi="Arial" w:cs="Arial"/>
        </w:rPr>
        <w:t xml:space="preserve">La propuesta del CEA consiste fundamentalmente en un régimen de separación y/o coordinación de fuentes tributarias entre los distintos niveles de gobierno de forma de hacer innecesario un régimen de coparticipación. Según Bulit Goñi, el régimen de coparticipación surge como necesario ante la gran concentración de fuentes tributarias en el gobierno de mayor nivel y dada la concurrencia de fuentes que autorizaba la Constitución de 1853 y que mantiene la reforma de 1994, con la excepción de los gravámenes aduaneros y las limitaciones para el establecimiento de impuestos </w:t>
      </w:r>
      <w:r w:rsidR="002E3C04" w:rsidRPr="007148A6">
        <w:rPr>
          <w:rFonts w:ascii="Arial" w:hAnsi="Arial" w:cs="Arial"/>
        </w:rPr>
        <w:t>directos por parte del gobierno nacional</w:t>
      </w:r>
      <w:r w:rsidR="002C114B" w:rsidRPr="007148A6">
        <w:rPr>
          <w:rFonts w:ascii="Arial" w:hAnsi="Arial" w:cs="Arial"/>
        </w:rPr>
        <w:t xml:space="preserve"> (que en general son salvad</w:t>
      </w:r>
      <w:r w:rsidR="0034604A" w:rsidRPr="007148A6">
        <w:rPr>
          <w:rFonts w:ascii="Arial" w:hAnsi="Arial" w:cs="Arial"/>
        </w:rPr>
        <w:t>a</w:t>
      </w:r>
      <w:r w:rsidR="002C114B" w:rsidRPr="007148A6">
        <w:rPr>
          <w:rFonts w:ascii="Arial" w:hAnsi="Arial" w:cs="Arial"/>
        </w:rPr>
        <w:t>s)</w:t>
      </w:r>
      <w:r w:rsidR="002E3C04" w:rsidRPr="007148A6">
        <w:rPr>
          <w:rFonts w:ascii="Arial" w:hAnsi="Arial" w:cs="Arial"/>
        </w:rPr>
        <w:t xml:space="preserve">. Estos argumentos jurídicos, estiman los autores del presente trabajo, son discutibles. </w:t>
      </w:r>
      <w:r w:rsidR="00C804D1" w:rsidRPr="007148A6">
        <w:rPr>
          <w:rFonts w:ascii="Arial" w:hAnsi="Arial" w:cs="Arial"/>
        </w:rPr>
        <w:t>Es dudoso (o, tal vez, una interpretación errónea)</w:t>
      </w:r>
      <w:r w:rsidR="002E3C04" w:rsidRPr="007148A6">
        <w:rPr>
          <w:rFonts w:ascii="Arial" w:hAnsi="Arial" w:cs="Arial"/>
        </w:rPr>
        <w:t xml:space="preserve"> si los convencionales del ’94 usaron la expresión verbal “son” coparticipables los recursos directos e indirectos que establezca </w:t>
      </w:r>
      <w:r w:rsidR="00FF16D1" w:rsidRPr="007148A6">
        <w:rPr>
          <w:rFonts w:ascii="Arial" w:hAnsi="Arial" w:cs="Arial"/>
        </w:rPr>
        <w:t>el gobierno nacional</w:t>
      </w:r>
      <w:r w:rsidR="0034604A" w:rsidRPr="007148A6">
        <w:rPr>
          <w:rFonts w:ascii="Arial" w:hAnsi="Arial" w:cs="Arial"/>
        </w:rPr>
        <w:t>,</w:t>
      </w:r>
      <w:r w:rsidR="002E3C04" w:rsidRPr="007148A6">
        <w:rPr>
          <w:rFonts w:ascii="Arial" w:hAnsi="Arial" w:cs="Arial"/>
        </w:rPr>
        <w:t xml:space="preserve"> en lugar de decir “debe</w:t>
      </w:r>
      <w:r w:rsidR="001D13C9" w:rsidRPr="007148A6">
        <w:rPr>
          <w:rFonts w:ascii="Arial" w:hAnsi="Arial" w:cs="Arial"/>
        </w:rPr>
        <w:t>n</w:t>
      </w:r>
      <w:r w:rsidR="002E3C04" w:rsidRPr="007148A6">
        <w:rPr>
          <w:rFonts w:ascii="Arial" w:hAnsi="Arial" w:cs="Arial"/>
        </w:rPr>
        <w:t xml:space="preserve"> ser” coparticipables</w:t>
      </w:r>
      <w:r w:rsidR="0034604A" w:rsidRPr="007148A6">
        <w:rPr>
          <w:rFonts w:ascii="Arial" w:hAnsi="Arial" w:cs="Arial"/>
        </w:rPr>
        <w:t>,</w:t>
      </w:r>
      <w:r w:rsidR="002E3C04" w:rsidRPr="007148A6">
        <w:rPr>
          <w:rFonts w:ascii="Arial" w:hAnsi="Arial" w:cs="Arial"/>
        </w:rPr>
        <w:t xml:space="preserve"> como una forma de expresar que no existe la obligatoriedad de sancionar una ley al respecto. El párrafo siguiente del artículo 75</w:t>
      </w:r>
      <w:r w:rsidR="00E849CD" w:rsidRPr="007148A6">
        <w:rPr>
          <w:rFonts w:ascii="Arial" w:hAnsi="Arial" w:cs="Arial"/>
        </w:rPr>
        <w:t>, en el mismo inciso,</w:t>
      </w:r>
      <w:r w:rsidR="002E3C04" w:rsidRPr="007148A6">
        <w:rPr>
          <w:rFonts w:ascii="Arial" w:hAnsi="Arial" w:cs="Arial"/>
        </w:rPr>
        <w:t xml:space="preserve"> </w:t>
      </w:r>
      <w:r w:rsidR="00C707E6" w:rsidRPr="007148A6">
        <w:rPr>
          <w:rFonts w:ascii="Arial" w:hAnsi="Arial" w:cs="Arial"/>
        </w:rPr>
        <w:t>indica que debe sancionarse una ley convenio</w:t>
      </w:r>
      <w:r w:rsidR="00C804D1" w:rsidRPr="007148A6">
        <w:rPr>
          <w:rFonts w:ascii="Arial" w:hAnsi="Arial" w:cs="Arial"/>
        </w:rPr>
        <w:t>, sobre la base de acuerdos</w:t>
      </w:r>
      <w:r w:rsidR="00C707E6" w:rsidRPr="007148A6">
        <w:rPr>
          <w:rFonts w:ascii="Arial" w:hAnsi="Arial" w:cs="Arial"/>
        </w:rPr>
        <w:t xml:space="preserve"> entre la Nación, las provincias y la CABA que instituya regímenes de coparticipación de estos recursos directos e indirectos</w:t>
      </w:r>
      <w:r w:rsidR="00C804D1" w:rsidRPr="007148A6">
        <w:rPr>
          <w:rFonts w:ascii="Arial" w:hAnsi="Arial" w:cs="Arial"/>
        </w:rPr>
        <w:t xml:space="preserve"> entre</w:t>
      </w:r>
      <w:r w:rsidR="00C707E6" w:rsidRPr="007148A6">
        <w:rPr>
          <w:rFonts w:ascii="Arial" w:hAnsi="Arial" w:cs="Arial"/>
        </w:rPr>
        <w:t xml:space="preserve"> los distintos niveles de gobierno.</w:t>
      </w:r>
      <w:r w:rsidR="005B6190" w:rsidRPr="007148A6">
        <w:rPr>
          <w:rFonts w:ascii="Arial" w:hAnsi="Arial" w:cs="Arial"/>
        </w:rPr>
        <w:t xml:space="preserve"> En opinión de los autores del presente, y teniendo en cuenta la composición de la convención constituyente de 1994, integrada entre otros por gobernadores, ex gobernadores, legisladores y destacados juristas y políticos, permite admitir que la intención de los convencionales era que el dictado de una nueva ley de </w:t>
      </w:r>
      <w:r w:rsidR="00180ECE" w:rsidRPr="007148A6">
        <w:rPr>
          <w:rFonts w:ascii="Arial" w:hAnsi="Arial" w:cs="Arial"/>
        </w:rPr>
        <w:t>coparticipación</w:t>
      </w:r>
      <w:r w:rsidR="005B6190" w:rsidRPr="007148A6">
        <w:rPr>
          <w:rFonts w:ascii="Arial" w:hAnsi="Arial" w:cs="Arial"/>
        </w:rPr>
        <w:t xml:space="preserve"> </w:t>
      </w:r>
      <w:r w:rsidR="00FA625A" w:rsidRPr="007148A6">
        <w:rPr>
          <w:rFonts w:ascii="Arial" w:hAnsi="Arial" w:cs="Arial"/>
        </w:rPr>
        <w:t>fuera</w:t>
      </w:r>
      <w:r w:rsidR="005B6190" w:rsidRPr="007148A6">
        <w:rPr>
          <w:rFonts w:ascii="Arial" w:hAnsi="Arial" w:cs="Arial"/>
        </w:rPr>
        <w:t xml:space="preserve"> obligatorio y que debían subsanarse los defectos que aquejan a la ley </w:t>
      </w:r>
      <w:r w:rsidR="005B6190" w:rsidRPr="007148A6">
        <w:rPr>
          <w:rFonts w:ascii="Arial" w:hAnsi="Arial" w:cs="Arial"/>
        </w:rPr>
        <w:lastRenderedPageBreak/>
        <w:t xml:space="preserve">vigente, sancionada en momentos de carencia de una legislación sobre el tema y </w:t>
      </w:r>
      <w:r w:rsidR="00F659C3" w:rsidRPr="007148A6">
        <w:rPr>
          <w:rFonts w:ascii="Arial" w:hAnsi="Arial" w:cs="Arial"/>
        </w:rPr>
        <w:t>con</w:t>
      </w:r>
      <w:r w:rsidR="005B6190" w:rsidRPr="007148A6">
        <w:rPr>
          <w:rFonts w:ascii="Arial" w:hAnsi="Arial" w:cs="Arial"/>
        </w:rPr>
        <w:t xml:space="preserve"> carácter temporario.</w:t>
      </w:r>
    </w:p>
    <w:p w14:paraId="162CDFFE" w14:textId="1E5D7C95" w:rsidR="00C707E6" w:rsidRPr="007148A6" w:rsidRDefault="00180ECE" w:rsidP="00C22C0F">
      <w:pPr>
        <w:spacing w:before="120" w:after="120"/>
        <w:jc w:val="both"/>
        <w:rPr>
          <w:rFonts w:ascii="Arial" w:hAnsi="Arial" w:cs="Arial"/>
        </w:rPr>
      </w:pPr>
      <w:r w:rsidRPr="007148A6">
        <w:rPr>
          <w:rFonts w:ascii="Arial" w:hAnsi="Arial" w:cs="Arial"/>
        </w:rPr>
        <w:t>Otr</w:t>
      </w:r>
      <w:r w:rsidR="00FF16D1" w:rsidRPr="007148A6">
        <w:rPr>
          <w:rFonts w:ascii="Arial" w:hAnsi="Arial" w:cs="Arial"/>
        </w:rPr>
        <w:t xml:space="preserve">a cuestión </w:t>
      </w:r>
      <w:r w:rsidRPr="007148A6">
        <w:rPr>
          <w:rFonts w:ascii="Arial" w:hAnsi="Arial" w:cs="Arial"/>
        </w:rPr>
        <w:t>para considerar</w:t>
      </w:r>
      <w:r w:rsidR="00C707E6" w:rsidRPr="007148A6">
        <w:rPr>
          <w:rFonts w:ascii="Arial" w:hAnsi="Arial" w:cs="Arial"/>
        </w:rPr>
        <w:t xml:space="preserve"> es si los derechos de importación y exportación, cuyo dictado es de exclusiva competencia del Congreso Nacional, puede</w:t>
      </w:r>
      <w:r w:rsidR="00C804D1" w:rsidRPr="007148A6">
        <w:rPr>
          <w:rFonts w:ascii="Arial" w:hAnsi="Arial" w:cs="Arial"/>
        </w:rPr>
        <w:t>n</w:t>
      </w:r>
      <w:r w:rsidR="00C707E6" w:rsidRPr="007148A6">
        <w:rPr>
          <w:rFonts w:ascii="Arial" w:hAnsi="Arial" w:cs="Arial"/>
        </w:rPr>
        <w:t xml:space="preserve"> o no ser coparticipados.</w:t>
      </w:r>
      <w:r w:rsidR="002C114B" w:rsidRPr="007148A6">
        <w:rPr>
          <w:rFonts w:ascii="Arial" w:hAnsi="Arial" w:cs="Arial"/>
        </w:rPr>
        <w:t xml:space="preserve"> Los autores del presente sostienen que </w:t>
      </w:r>
      <w:r w:rsidR="00C804D1" w:rsidRPr="007148A6">
        <w:rPr>
          <w:rFonts w:ascii="Arial" w:hAnsi="Arial" w:cs="Arial"/>
        </w:rPr>
        <w:t>puede</w:t>
      </w:r>
      <w:r w:rsidR="00FF16D1" w:rsidRPr="007148A6">
        <w:rPr>
          <w:rFonts w:ascii="Arial" w:hAnsi="Arial" w:cs="Arial"/>
        </w:rPr>
        <w:t>n</w:t>
      </w:r>
      <w:r w:rsidR="002C114B" w:rsidRPr="007148A6">
        <w:rPr>
          <w:rFonts w:ascii="Arial" w:hAnsi="Arial" w:cs="Arial"/>
        </w:rPr>
        <w:t xml:space="preserve"> ser coparticipados</w:t>
      </w:r>
      <w:r w:rsidR="00C804D1" w:rsidRPr="007148A6">
        <w:rPr>
          <w:rFonts w:ascii="Arial" w:hAnsi="Arial" w:cs="Arial"/>
        </w:rPr>
        <w:t xml:space="preserve"> (y que es conveniente que así lo sean)</w:t>
      </w:r>
      <w:r w:rsidR="002C114B" w:rsidRPr="007148A6">
        <w:rPr>
          <w:rFonts w:ascii="Arial" w:hAnsi="Arial" w:cs="Arial"/>
        </w:rPr>
        <w:t xml:space="preserve"> y que la norma constitucional indica que su sanción queda reservada al </w:t>
      </w:r>
      <w:r w:rsidR="00FA625A" w:rsidRPr="007148A6">
        <w:rPr>
          <w:rFonts w:ascii="Arial" w:hAnsi="Arial" w:cs="Arial"/>
        </w:rPr>
        <w:t>C</w:t>
      </w:r>
      <w:r w:rsidR="002C114B" w:rsidRPr="007148A6">
        <w:rPr>
          <w:rFonts w:ascii="Arial" w:hAnsi="Arial" w:cs="Arial"/>
        </w:rPr>
        <w:t xml:space="preserve">ongreso </w:t>
      </w:r>
      <w:r w:rsidR="00FA625A" w:rsidRPr="007148A6">
        <w:rPr>
          <w:rFonts w:ascii="Arial" w:hAnsi="Arial" w:cs="Arial"/>
        </w:rPr>
        <w:t>N</w:t>
      </w:r>
      <w:r w:rsidR="002C114B" w:rsidRPr="007148A6">
        <w:rPr>
          <w:rFonts w:ascii="Arial" w:hAnsi="Arial" w:cs="Arial"/>
        </w:rPr>
        <w:t>acional, no pudiendo los gobiernos de segundo nivel establecer tributos de ese género</w:t>
      </w:r>
      <w:r w:rsidR="00E849CD" w:rsidRPr="007148A6">
        <w:rPr>
          <w:rFonts w:ascii="Arial" w:hAnsi="Arial" w:cs="Arial"/>
        </w:rPr>
        <w:t>,</w:t>
      </w:r>
      <w:r w:rsidR="002C114B" w:rsidRPr="007148A6">
        <w:rPr>
          <w:rFonts w:ascii="Arial" w:hAnsi="Arial" w:cs="Arial"/>
        </w:rPr>
        <w:t xml:space="preserve"> pero que no existe impedimento </w:t>
      </w:r>
      <w:r w:rsidR="00C804D1" w:rsidRPr="007148A6">
        <w:rPr>
          <w:rFonts w:ascii="Arial" w:hAnsi="Arial" w:cs="Arial"/>
        </w:rPr>
        <w:t>ni p</w:t>
      </w:r>
      <w:r w:rsidR="0022641A" w:rsidRPr="007148A6">
        <w:rPr>
          <w:rFonts w:ascii="Arial" w:hAnsi="Arial" w:cs="Arial"/>
        </w:rPr>
        <w:t xml:space="preserve">rohibición </w:t>
      </w:r>
      <w:r w:rsidR="002C114B" w:rsidRPr="007148A6">
        <w:rPr>
          <w:rFonts w:ascii="Arial" w:hAnsi="Arial" w:cs="Arial"/>
        </w:rPr>
        <w:t>para la distribución de su producido entre los distintos niveles. El fundamento de</w:t>
      </w:r>
      <w:r w:rsidR="0022641A" w:rsidRPr="007148A6">
        <w:rPr>
          <w:rFonts w:ascii="Arial" w:hAnsi="Arial" w:cs="Arial"/>
        </w:rPr>
        <w:t xml:space="preserve"> proponer</w:t>
      </w:r>
      <w:r w:rsidR="002C114B" w:rsidRPr="007148A6">
        <w:rPr>
          <w:rFonts w:ascii="Arial" w:hAnsi="Arial" w:cs="Arial"/>
        </w:rPr>
        <w:t xml:space="preserve"> su inclusión en la coparticipación se basa en el argumento de que así se evita la preferencia que pudiera tener el </w:t>
      </w:r>
      <w:r w:rsidR="0034604A" w:rsidRPr="007148A6">
        <w:rPr>
          <w:rFonts w:ascii="Arial" w:hAnsi="Arial" w:cs="Arial"/>
        </w:rPr>
        <w:t xml:space="preserve">gobierno de </w:t>
      </w:r>
      <w:r w:rsidR="002C114B" w:rsidRPr="007148A6">
        <w:rPr>
          <w:rFonts w:ascii="Arial" w:hAnsi="Arial" w:cs="Arial"/>
        </w:rPr>
        <w:t>mayor nivel por impuestos no coparticipables. Esta tesis no es compartida por los autores consultados</w:t>
      </w:r>
      <w:r w:rsidR="00880B6F" w:rsidRPr="007148A6">
        <w:rPr>
          <w:rFonts w:ascii="Arial" w:hAnsi="Arial" w:cs="Arial"/>
        </w:rPr>
        <w:t>. No obstante, los autores del presente sostienen la conveniencia de incluirlos y opinan que no existe impedimento normativo para hacerlo</w:t>
      </w:r>
      <w:r w:rsidR="00FA625A" w:rsidRPr="007148A6">
        <w:rPr>
          <w:rFonts w:ascii="Arial" w:hAnsi="Arial" w:cs="Arial"/>
        </w:rPr>
        <w:t>, por más que el artículo 4 de la C. N. indica que “los gastos de la Nación se financian con los fondos del Tesoro nacional formado del producto de derechos de importación y exportación…”</w:t>
      </w:r>
      <w:r w:rsidR="003905EF" w:rsidRPr="007148A6">
        <w:rPr>
          <w:rStyle w:val="Refdenotaalpie"/>
          <w:rFonts w:ascii="Arial" w:hAnsi="Arial" w:cs="Arial"/>
        </w:rPr>
        <w:footnoteReference w:id="6"/>
      </w:r>
      <w:r w:rsidR="00FA625A" w:rsidRPr="007148A6">
        <w:rPr>
          <w:rFonts w:ascii="Arial" w:hAnsi="Arial" w:cs="Arial"/>
        </w:rPr>
        <w:t>, las provincias son miembros de la Nación.</w:t>
      </w:r>
    </w:p>
    <w:p w14:paraId="723924BC" w14:textId="0B5D9F77" w:rsidR="007C41AD" w:rsidRPr="007148A6" w:rsidRDefault="00955F22" w:rsidP="007C41AD">
      <w:pPr>
        <w:pStyle w:val="Prrafodelista"/>
        <w:numPr>
          <w:ilvl w:val="0"/>
          <w:numId w:val="1"/>
        </w:numPr>
        <w:spacing w:before="120" w:after="120"/>
        <w:jc w:val="both"/>
        <w:rPr>
          <w:rFonts w:ascii="Arial" w:hAnsi="Arial" w:cs="Arial"/>
          <w:b/>
          <w:bCs/>
        </w:rPr>
      </w:pPr>
      <w:r w:rsidRPr="007148A6">
        <w:rPr>
          <w:rFonts w:ascii="Arial" w:hAnsi="Arial" w:cs="Arial"/>
          <w:b/>
          <w:bCs/>
        </w:rPr>
        <w:t>Comentarios sobre las</w:t>
      </w:r>
      <w:r w:rsidR="007C41AD" w:rsidRPr="007148A6">
        <w:rPr>
          <w:rFonts w:ascii="Arial" w:hAnsi="Arial" w:cs="Arial"/>
          <w:b/>
          <w:bCs/>
        </w:rPr>
        <w:t xml:space="preserve"> propuestas citadas</w:t>
      </w:r>
    </w:p>
    <w:p w14:paraId="48B8EBA8" w14:textId="00C60963" w:rsidR="007C41AD" w:rsidRPr="007148A6" w:rsidRDefault="00D467BD" w:rsidP="00D467BD">
      <w:pPr>
        <w:pStyle w:val="Prrafodelista"/>
        <w:numPr>
          <w:ilvl w:val="0"/>
          <w:numId w:val="3"/>
        </w:numPr>
        <w:spacing w:before="120" w:after="120"/>
        <w:jc w:val="both"/>
        <w:rPr>
          <w:rFonts w:ascii="Arial" w:hAnsi="Arial" w:cs="Arial"/>
          <w:b/>
          <w:bCs/>
        </w:rPr>
      </w:pPr>
      <w:r w:rsidRPr="007148A6">
        <w:rPr>
          <w:rFonts w:ascii="Arial" w:hAnsi="Arial" w:cs="Arial"/>
          <w:b/>
          <w:bCs/>
        </w:rPr>
        <w:t>La propuesta del Consejo Empresario Argentino</w:t>
      </w:r>
      <w:r w:rsidR="005B3786" w:rsidRPr="007148A6">
        <w:rPr>
          <w:rFonts w:ascii="Arial" w:hAnsi="Arial" w:cs="Arial"/>
          <w:b/>
          <w:bCs/>
        </w:rPr>
        <w:t xml:space="preserve"> (CEA)</w:t>
      </w:r>
    </w:p>
    <w:p w14:paraId="1DA36D9F" w14:textId="0EE4B5C4" w:rsidR="00180ECE" w:rsidRPr="007148A6" w:rsidRDefault="00180ECE" w:rsidP="00180ECE">
      <w:pPr>
        <w:spacing w:before="120" w:after="120"/>
        <w:jc w:val="both"/>
        <w:rPr>
          <w:rFonts w:ascii="Arial" w:hAnsi="Arial" w:cs="Arial"/>
        </w:rPr>
      </w:pPr>
      <w:r w:rsidRPr="007148A6">
        <w:rPr>
          <w:rFonts w:ascii="Arial" w:hAnsi="Arial" w:cs="Arial"/>
        </w:rPr>
        <w:t>El principal fundamento de la propuesta del CEA</w:t>
      </w:r>
      <w:r w:rsidR="005B3786" w:rsidRPr="007148A6">
        <w:rPr>
          <w:rFonts w:ascii="Arial" w:hAnsi="Arial" w:cs="Arial"/>
        </w:rPr>
        <w:t>,</w:t>
      </w:r>
      <w:r w:rsidRPr="007148A6">
        <w:rPr>
          <w:rFonts w:ascii="Arial" w:hAnsi="Arial" w:cs="Arial"/>
        </w:rPr>
        <w:t xml:space="preserve"> de sustituir el régimen de coparticipación federal por un sistema de separación de fuentes tributarias entre ambos niveles de gobierno</w:t>
      </w:r>
      <w:r w:rsidR="005B3786" w:rsidRPr="007148A6">
        <w:rPr>
          <w:rFonts w:ascii="Arial" w:hAnsi="Arial" w:cs="Arial"/>
        </w:rPr>
        <w:t>,</w:t>
      </w:r>
      <w:r w:rsidRPr="007148A6">
        <w:rPr>
          <w:rFonts w:ascii="Arial" w:hAnsi="Arial" w:cs="Arial"/>
        </w:rPr>
        <w:t xml:space="preserve"> se basa en el argumento de que si existe una acentuada descentralización del gasto público hacia las provincias y municipios (posiblemente la mayor de América Latina), la misma debería ser acompañada de una “ambiciosa” descentralización tributaria. El no hacerlo quiebra el principio de correspondencia fiscal sin cuyo cumplimiento no es posible racionalizar el gasto público provincial.</w:t>
      </w:r>
    </w:p>
    <w:p w14:paraId="5E7F1BD2" w14:textId="3B060385" w:rsidR="00F659C3" w:rsidRPr="007148A6" w:rsidRDefault="00180ECE" w:rsidP="00F659C3">
      <w:pPr>
        <w:spacing w:before="120" w:after="120"/>
        <w:jc w:val="both"/>
        <w:rPr>
          <w:rFonts w:ascii="Arial" w:hAnsi="Arial" w:cs="Arial"/>
        </w:rPr>
      </w:pPr>
      <w:r w:rsidRPr="007148A6">
        <w:rPr>
          <w:rFonts w:ascii="Arial" w:hAnsi="Arial" w:cs="Arial"/>
        </w:rPr>
        <w:t>Esto puede ser tomado como un fundamento válido para su propuesta. No obstante, surge el interrogante</w:t>
      </w:r>
      <w:r w:rsidR="00FA625A" w:rsidRPr="007148A6">
        <w:rPr>
          <w:rFonts w:ascii="Arial" w:hAnsi="Arial" w:cs="Arial"/>
        </w:rPr>
        <w:t xml:space="preserve"> de que</w:t>
      </w:r>
      <w:r w:rsidRPr="007148A6">
        <w:rPr>
          <w:rFonts w:ascii="Arial" w:hAnsi="Arial" w:cs="Arial"/>
        </w:rPr>
        <w:t xml:space="preserve"> si, ante la acentuada disparidad de desarrollo económico y social y la evidente prevalencia del clientelismo electoral en muchas provincias, es posible lograr una eficiente racionalidad de políticas tributarias en todas ellas. Seguramente es una aspiración válida el lograr este objetivo en el largo plazo. </w:t>
      </w:r>
      <w:r w:rsidR="004B573C" w:rsidRPr="007148A6">
        <w:rPr>
          <w:rFonts w:ascii="Arial" w:hAnsi="Arial" w:cs="Arial"/>
        </w:rPr>
        <w:t>De hecho</w:t>
      </w:r>
      <w:r w:rsidR="00F659C3" w:rsidRPr="007148A6">
        <w:rPr>
          <w:rFonts w:ascii="Arial" w:hAnsi="Arial" w:cs="Arial"/>
        </w:rPr>
        <w:t>, no todas las provincias poseen el suficiente desarrollo institucional para lograr una administración tributaria eficiente para recaudar recursos de cierta complejidad.</w:t>
      </w:r>
    </w:p>
    <w:p w14:paraId="21B13418" w14:textId="75A6648D" w:rsidR="00180ECE" w:rsidRPr="007148A6" w:rsidRDefault="00180ECE" w:rsidP="00180ECE">
      <w:pPr>
        <w:spacing w:before="120" w:after="120"/>
        <w:jc w:val="both"/>
        <w:rPr>
          <w:rFonts w:ascii="Arial" w:hAnsi="Arial" w:cs="Arial"/>
        </w:rPr>
      </w:pPr>
      <w:r w:rsidRPr="007148A6">
        <w:rPr>
          <w:rFonts w:ascii="Arial" w:hAnsi="Arial" w:cs="Arial"/>
        </w:rPr>
        <w:t xml:space="preserve">Es por </w:t>
      </w:r>
      <w:r w:rsidR="00F659C3" w:rsidRPr="007148A6">
        <w:rPr>
          <w:rFonts w:ascii="Arial" w:hAnsi="Arial" w:cs="Arial"/>
        </w:rPr>
        <w:t xml:space="preserve">todo ello </w:t>
      </w:r>
      <w:r w:rsidRPr="007148A6">
        <w:rPr>
          <w:rFonts w:ascii="Arial" w:hAnsi="Arial" w:cs="Arial"/>
        </w:rPr>
        <w:t xml:space="preserve">que en el presente trabajo se insiste en la aplicación de incentivos de responsabilidad fiscal en el régimen de distribución de recursos que podrían ayudar </w:t>
      </w:r>
      <w:r w:rsidR="005B3786" w:rsidRPr="007148A6">
        <w:rPr>
          <w:rFonts w:ascii="Arial" w:hAnsi="Arial" w:cs="Arial"/>
        </w:rPr>
        <w:t>a lograr</w:t>
      </w:r>
      <w:r w:rsidRPr="007148A6">
        <w:rPr>
          <w:rFonts w:ascii="Arial" w:hAnsi="Arial" w:cs="Arial"/>
        </w:rPr>
        <w:t xml:space="preserve"> a través del tiempo una mayor correspondencia fiscal.</w:t>
      </w:r>
      <w:r w:rsidR="00F659C3" w:rsidRPr="007148A6">
        <w:rPr>
          <w:rFonts w:ascii="Arial" w:hAnsi="Arial" w:cs="Arial"/>
        </w:rPr>
        <w:t xml:space="preserve"> </w:t>
      </w:r>
    </w:p>
    <w:p w14:paraId="26285390" w14:textId="77777777" w:rsidR="00180ECE" w:rsidRPr="007148A6" w:rsidRDefault="00180ECE" w:rsidP="00180ECE">
      <w:pPr>
        <w:spacing w:before="120" w:after="120"/>
        <w:jc w:val="both"/>
        <w:rPr>
          <w:rFonts w:ascii="Arial" w:hAnsi="Arial" w:cs="Arial"/>
        </w:rPr>
      </w:pPr>
      <w:r w:rsidRPr="007148A6">
        <w:rPr>
          <w:rFonts w:ascii="Arial" w:hAnsi="Arial" w:cs="Arial"/>
        </w:rPr>
        <w:t>No obstante, si se avanza en el análisis de la propuesta del CEA, se puede apreciar que la misma admite que la adopción del modelo propuesto generaría “en la mitad de las provincias un faltante tan marcado que la propuesta se tornaría inviable en la práctica” por lo que recomienda la complementación de ésta con un sistema de transferencias compensatorias.</w:t>
      </w:r>
      <w:r w:rsidRPr="007148A6">
        <w:rPr>
          <w:rStyle w:val="Refdenotaalpie"/>
          <w:rFonts w:ascii="Arial" w:hAnsi="Arial" w:cs="Arial"/>
        </w:rPr>
        <w:footnoteReference w:id="7"/>
      </w:r>
    </w:p>
    <w:p w14:paraId="4611CB21" w14:textId="71BD28F6" w:rsidR="00653651" w:rsidRPr="007148A6" w:rsidRDefault="00180ECE" w:rsidP="005B3786">
      <w:pPr>
        <w:spacing w:before="120" w:after="120"/>
        <w:jc w:val="both"/>
        <w:rPr>
          <w:rFonts w:ascii="Arial" w:hAnsi="Arial" w:cs="Arial"/>
        </w:rPr>
      </w:pPr>
      <w:r w:rsidRPr="007148A6">
        <w:rPr>
          <w:rFonts w:ascii="Arial" w:hAnsi="Arial" w:cs="Arial"/>
        </w:rPr>
        <w:t>Estas transferencias compensatorias</w:t>
      </w:r>
      <w:r w:rsidR="005B3786" w:rsidRPr="007148A6">
        <w:rPr>
          <w:rFonts w:ascii="Arial" w:hAnsi="Arial" w:cs="Arial"/>
        </w:rPr>
        <w:t xml:space="preserve"> que propone y analiza son de tres tipos: </w:t>
      </w:r>
      <w:r w:rsidR="005B3786" w:rsidRPr="007148A6">
        <w:rPr>
          <w:rFonts w:ascii="Arial" w:hAnsi="Arial" w:cs="Arial"/>
          <w:i/>
          <w:iCs/>
        </w:rPr>
        <w:t>condicionadas</w:t>
      </w:r>
      <w:r w:rsidR="005B3786" w:rsidRPr="007148A6">
        <w:rPr>
          <w:rFonts w:ascii="Arial" w:hAnsi="Arial" w:cs="Arial"/>
        </w:rPr>
        <w:t xml:space="preserve">, que tendrían por destino la atención de servicios básicos que el gobierno de menor nivel debe </w:t>
      </w:r>
      <w:r w:rsidR="005B3786" w:rsidRPr="007148A6">
        <w:rPr>
          <w:rFonts w:ascii="Arial" w:hAnsi="Arial" w:cs="Arial"/>
        </w:rPr>
        <w:lastRenderedPageBreak/>
        <w:t xml:space="preserve">necesariamente prestar a la población de su jurisdicción (como servicios básicos municipales, </w:t>
      </w:r>
      <w:r w:rsidR="00653651" w:rsidRPr="007148A6">
        <w:rPr>
          <w:rFonts w:ascii="Arial" w:hAnsi="Arial" w:cs="Arial"/>
        </w:rPr>
        <w:t>salud</w:t>
      </w:r>
      <w:r w:rsidR="005B3786" w:rsidRPr="007148A6">
        <w:rPr>
          <w:rFonts w:ascii="Arial" w:hAnsi="Arial" w:cs="Arial"/>
        </w:rPr>
        <w:t>, etc.) para cuya determinación habría que considerar la igualación de niveles de prestación de estos servicios</w:t>
      </w:r>
      <w:r w:rsidR="00867EF9" w:rsidRPr="007148A6">
        <w:rPr>
          <w:rFonts w:ascii="Arial" w:hAnsi="Arial" w:cs="Arial"/>
        </w:rPr>
        <w:t xml:space="preserve"> o su adecuación a las disparidades en cuanto a necesidades locales (como por ejemplo, en el área de salud en la que las circunstancias de las distintas jurisdicciones puede diferir notablemente)</w:t>
      </w:r>
      <w:r w:rsidR="00653651" w:rsidRPr="007148A6">
        <w:rPr>
          <w:rFonts w:ascii="Arial" w:hAnsi="Arial" w:cs="Arial"/>
        </w:rPr>
        <w:t xml:space="preserve">; las transferencias </w:t>
      </w:r>
      <w:r w:rsidR="00653651" w:rsidRPr="007148A6">
        <w:rPr>
          <w:rFonts w:ascii="Arial" w:hAnsi="Arial" w:cs="Arial"/>
          <w:i/>
          <w:iCs/>
        </w:rPr>
        <w:t xml:space="preserve">no condicionadas </w:t>
      </w:r>
      <w:r w:rsidR="00653651" w:rsidRPr="007148A6">
        <w:rPr>
          <w:rFonts w:ascii="Arial" w:hAnsi="Arial" w:cs="Arial"/>
        </w:rPr>
        <w:t xml:space="preserve">que tendrían el propósito de igualar las capacidades fiscales de las distintas jurisdicciones. Por último, las </w:t>
      </w:r>
      <w:r w:rsidR="00653651" w:rsidRPr="007148A6">
        <w:rPr>
          <w:rFonts w:ascii="Arial" w:hAnsi="Arial" w:cs="Arial"/>
          <w:b/>
          <w:bCs/>
          <w:i/>
          <w:iCs/>
        </w:rPr>
        <w:t xml:space="preserve">transferencias por coparticipación </w:t>
      </w:r>
      <w:r w:rsidR="00653651" w:rsidRPr="007148A6">
        <w:rPr>
          <w:rFonts w:ascii="Arial" w:hAnsi="Arial" w:cs="Arial"/>
        </w:rPr>
        <w:t>que sería la consecuencia lógica de un sistema tributario cuya recaudación está concentrada en el mayor nivel de gobierno</w:t>
      </w:r>
      <w:r w:rsidR="00D34D5A" w:rsidRPr="007148A6">
        <w:rPr>
          <w:rFonts w:ascii="Arial" w:hAnsi="Arial" w:cs="Arial"/>
        </w:rPr>
        <w:t xml:space="preserve"> y cuya descentralización hacia los gobiernos de menor nivel puede llevar al problema de migración de las bases imponibles.</w:t>
      </w:r>
      <w:r w:rsidR="00F17026" w:rsidRPr="007148A6">
        <w:rPr>
          <w:rStyle w:val="Refdenotaalpie"/>
          <w:rFonts w:ascii="Arial" w:hAnsi="Arial" w:cs="Arial"/>
        </w:rPr>
        <w:footnoteReference w:id="8"/>
      </w:r>
    </w:p>
    <w:p w14:paraId="075F5BF7" w14:textId="470FDEF0" w:rsidR="00F8090D" w:rsidRPr="007148A6" w:rsidRDefault="00D467BD" w:rsidP="00D467BD">
      <w:pPr>
        <w:spacing w:before="120" w:after="120"/>
        <w:jc w:val="both"/>
        <w:rPr>
          <w:rFonts w:ascii="Arial" w:hAnsi="Arial" w:cs="Arial"/>
        </w:rPr>
      </w:pPr>
      <w:r w:rsidRPr="007148A6">
        <w:rPr>
          <w:rFonts w:ascii="Arial" w:hAnsi="Arial" w:cs="Arial"/>
        </w:rPr>
        <w:t>Como ya se afirmó más arriba, el C</w:t>
      </w:r>
      <w:r w:rsidR="00C75DAF" w:rsidRPr="007148A6">
        <w:rPr>
          <w:rFonts w:ascii="Arial" w:hAnsi="Arial" w:cs="Arial"/>
        </w:rPr>
        <w:t>EA</w:t>
      </w:r>
      <w:r w:rsidRPr="007148A6">
        <w:rPr>
          <w:rFonts w:ascii="Arial" w:hAnsi="Arial" w:cs="Arial"/>
        </w:rPr>
        <w:t xml:space="preserve"> propone un sistema tributario de acentuada separación de fuentes y coordinada concurrencia parcial entre los gobiernos nacional y provinciales (incluida la CABA)</w:t>
      </w:r>
      <w:r w:rsidR="00C37AA8" w:rsidRPr="007148A6">
        <w:rPr>
          <w:rFonts w:ascii="Arial" w:hAnsi="Arial" w:cs="Arial"/>
        </w:rPr>
        <w:t xml:space="preserve">. Luego de varios modelos de simulación, la propuesta sugiere que las provincias asuman la aplicación de impuestos indirectos sobre cigarrillos y bebidas, combustibles, un impuesto al valor agregado con base destino </w:t>
      </w:r>
      <w:r w:rsidR="004B573C" w:rsidRPr="007148A6">
        <w:rPr>
          <w:rFonts w:ascii="Arial" w:hAnsi="Arial" w:cs="Arial"/>
        </w:rPr>
        <w:t>con</w:t>
      </w:r>
      <w:r w:rsidR="00C37AA8" w:rsidRPr="007148A6">
        <w:rPr>
          <w:rFonts w:ascii="Arial" w:hAnsi="Arial" w:cs="Arial"/>
        </w:rPr>
        <w:t xml:space="preserve"> una alícuota del 10% y un impuesto proporcional a la renta personal del 1</w:t>
      </w:r>
      <w:r w:rsidR="00F8090D" w:rsidRPr="007148A6">
        <w:rPr>
          <w:rFonts w:ascii="Arial" w:hAnsi="Arial" w:cs="Arial"/>
        </w:rPr>
        <w:t>1</w:t>
      </w:r>
      <w:r w:rsidR="00C37AA8" w:rsidRPr="007148A6">
        <w:rPr>
          <w:rFonts w:ascii="Arial" w:hAnsi="Arial" w:cs="Arial"/>
        </w:rPr>
        <w:t>,4%</w:t>
      </w:r>
      <w:r w:rsidR="00F8090D" w:rsidRPr="007148A6">
        <w:rPr>
          <w:rFonts w:ascii="Arial" w:hAnsi="Arial" w:cs="Arial"/>
        </w:rPr>
        <w:t xml:space="preserve"> con el criterio de residencia y sin mínimo no imponible (a efectos de cumplir con el principio de correspondencia fiscal, es decir que el beneficiario de los servicios que presta e</w:t>
      </w:r>
      <w:r w:rsidR="00C75DAF" w:rsidRPr="007148A6">
        <w:rPr>
          <w:rFonts w:ascii="Arial" w:hAnsi="Arial" w:cs="Arial"/>
        </w:rPr>
        <w:t>l</w:t>
      </w:r>
      <w:r w:rsidR="00F8090D" w:rsidRPr="007148A6">
        <w:rPr>
          <w:rFonts w:ascii="Arial" w:hAnsi="Arial" w:cs="Arial"/>
        </w:rPr>
        <w:t xml:space="preserve"> estado debe contribuir a su financiamiento). Por supuesto, que las provincias deberían eliminar sus actuales impuestos sobre los ingresos brutos y de sellos, caracterizados por su acentuado grado de efectos distorsivos sobre la actividad económica y las transacciones internacionales e interprovinciales. Por su parte, el gobierno nacional mantiene su exclusividad sobre los aranceles al comercio exterior, el impuesto a las ganancias empresarias (</w:t>
      </w:r>
      <w:r w:rsidR="009C68BA" w:rsidRPr="007148A6">
        <w:rPr>
          <w:rFonts w:ascii="Arial" w:hAnsi="Arial" w:cs="Arial"/>
        </w:rPr>
        <w:t>sin consideración de la figura jurídica de la empresa, sea individual, sociedad comercial, de responsabilidad limitada, anónima, etc.)</w:t>
      </w:r>
      <w:r w:rsidR="00F8090D" w:rsidRPr="007148A6">
        <w:rPr>
          <w:rFonts w:ascii="Arial" w:hAnsi="Arial" w:cs="Arial"/>
        </w:rPr>
        <w:t xml:space="preserve"> </w:t>
      </w:r>
      <w:r w:rsidR="00EC02C0" w:rsidRPr="007148A6">
        <w:rPr>
          <w:rFonts w:ascii="Arial" w:hAnsi="Arial" w:cs="Arial"/>
        </w:rPr>
        <w:t>e</w:t>
      </w:r>
      <w:r w:rsidR="009C68BA" w:rsidRPr="007148A6">
        <w:rPr>
          <w:rFonts w:ascii="Arial" w:hAnsi="Arial" w:cs="Arial"/>
        </w:rPr>
        <w:t xml:space="preserve"> impuesto al valor agregado ahora con alícuota reducida para dar lugar al concurrente impuesto provincial. Más adelante, como se señala en los párrafos precedentes, se admite que puedan existir transferencias interjurisdiccionales (condicionadas, no condicionadas y de coparticipación).</w:t>
      </w:r>
    </w:p>
    <w:p w14:paraId="514A9416" w14:textId="73447DB3" w:rsidR="006A5C3C" w:rsidRPr="007148A6" w:rsidRDefault="00415587" w:rsidP="00D467BD">
      <w:pPr>
        <w:spacing w:before="120" w:after="120"/>
        <w:jc w:val="both"/>
        <w:rPr>
          <w:rFonts w:ascii="Arial" w:hAnsi="Arial" w:cs="Arial"/>
        </w:rPr>
      </w:pPr>
      <w:r w:rsidRPr="007148A6">
        <w:rPr>
          <w:rFonts w:ascii="Arial" w:hAnsi="Arial" w:cs="Arial"/>
        </w:rPr>
        <w:t>No se mencionan en el texto los impuestos patrimoniales (inmobiliario, automotor, bienes personales, etc.)</w:t>
      </w:r>
      <w:r w:rsidR="00233ECB" w:rsidRPr="007148A6">
        <w:rPr>
          <w:rFonts w:ascii="Arial" w:hAnsi="Arial" w:cs="Arial"/>
        </w:rPr>
        <w:t xml:space="preserve"> ni las dificultades que su recaudación genera en algunas jurisdicciones.</w:t>
      </w:r>
    </w:p>
    <w:p w14:paraId="083A9B79" w14:textId="3931E21F" w:rsidR="004B6FCB" w:rsidRPr="007148A6" w:rsidRDefault="004B6FCB" w:rsidP="004B6FCB">
      <w:pPr>
        <w:pStyle w:val="Prrafodelista"/>
        <w:numPr>
          <w:ilvl w:val="0"/>
          <w:numId w:val="3"/>
        </w:numPr>
        <w:spacing w:before="120" w:after="120"/>
        <w:jc w:val="both"/>
        <w:rPr>
          <w:rFonts w:ascii="Arial" w:hAnsi="Arial" w:cs="Arial"/>
          <w:b/>
          <w:bCs/>
        </w:rPr>
      </w:pPr>
      <w:r w:rsidRPr="007148A6">
        <w:rPr>
          <w:rFonts w:ascii="Arial" w:hAnsi="Arial" w:cs="Arial"/>
          <w:b/>
          <w:bCs/>
        </w:rPr>
        <w:t>La propuesta de H. Piffano</w:t>
      </w:r>
    </w:p>
    <w:p w14:paraId="103D2992" w14:textId="5EA8B685" w:rsidR="006A5C3C" w:rsidRPr="007148A6" w:rsidRDefault="006A5C3C" w:rsidP="006A5C3C">
      <w:pPr>
        <w:spacing w:before="120" w:after="120"/>
        <w:jc w:val="both"/>
        <w:rPr>
          <w:rFonts w:ascii="Arial" w:hAnsi="Arial" w:cs="Arial"/>
        </w:rPr>
      </w:pPr>
      <w:r w:rsidRPr="007148A6">
        <w:rPr>
          <w:rFonts w:ascii="Arial" w:hAnsi="Arial" w:cs="Arial"/>
        </w:rPr>
        <w:t>En el artículo citado de Horacio Piffano, quien colaboró activamente en la elaboración de la propuesta del C</w:t>
      </w:r>
      <w:r w:rsidR="00213CD9" w:rsidRPr="007148A6">
        <w:rPr>
          <w:rFonts w:ascii="Arial" w:hAnsi="Arial" w:cs="Arial"/>
        </w:rPr>
        <w:t>EA</w:t>
      </w:r>
      <w:r w:rsidRPr="007148A6">
        <w:rPr>
          <w:rFonts w:ascii="Arial" w:hAnsi="Arial" w:cs="Arial"/>
        </w:rPr>
        <w:t>, sin embargo, dos décadas después, sostiene una combinación de esa propuesta con un régimen de distribución de recursos entre los distintos niveles de gobierno.</w:t>
      </w:r>
      <w:r w:rsidR="004B6FCB" w:rsidRPr="007148A6">
        <w:rPr>
          <w:rStyle w:val="Refdenotaalpie"/>
          <w:rFonts w:ascii="Arial" w:hAnsi="Arial" w:cs="Arial"/>
        </w:rPr>
        <w:footnoteReference w:id="9"/>
      </w:r>
    </w:p>
    <w:p w14:paraId="0BA8D277" w14:textId="1091CE6B" w:rsidR="004B6FCB" w:rsidRPr="007148A6" w:rsidRDefault="004B6FCB" w:rsidP="006A5C3C">
      <w:pPr>
        <w:spacing w:before="120" w:after="120"/>
        <w:jc w:val="both"/>
        <w:rPr>
          <w:rFonts w:ascii="Arial" w:hAnsi="Arial" w:cs="Arial"/>
        </w:rPr>
      </w:pPr>
      <w:r w:rsidRPr="007148A6">
        <w:rPr>
          <w:rFonts w:ascii="Arial" w:hAnsi="Arial" w:cs="Arial"/>
        </w:rPr>
        <w:t>El argumento principal de este autor es que la publicidad y transparencia de la gestión gubernamental requiere de la observancia del principio de la correspondencia fiscal</w:t>
      </w:r>
      <w:r w:rsidR="00DB4DE8" w:rsidRPr="007148A6">
        <w:rPr>
          <w:rFonts w:ascii="Arial" w:hAnsi="Arial" w:cs="Arial"/>
        </w:rPr>
        <w:t xml:space="preserve">. Destaca la importancia de la correspondencia fiscal </w:t>
      </w:r>
      <w:r w:rsidR="00DB4DE8" w:rsidRPr="007148A6">
        <w:rPr>
          <w:rFonts w:ascii="Arial" w:hAnsi="Arial" w:cs="Arial"/>
          <w:i/>
          <w:iCs/>
        </w:rPr>
        <w:t xml:space="preserve">marginal </w:t>
      </w:r>
      <w:r w:rsidR="00DB4DE8" w:rsidRPr="007148A6">
        <w:rPr>
          <w:rFonts w:ascii="Arial" w:hAnsi="Arial" w:cs="Arial"/>
        </w:rPr>
        <w:t xml:space="preserve">(la reducción de ingresos que un ciudadano debería soportar por una demanda marginal o adicional de servicios gubernamentales) y de la correspondencia fiscal </w:t>
      </w:r>
      <w:r w:rsidR="00DB4DE8" w:rsidRPr="007148A6">
        <w:rPr>
          <w:rFonts w:ascii="Arial" w:hAnsi="Arial" w:cs="Arial"/>
          <w:i/>
          <w:iCs/>
        </w:rPr>
        <w:t>media</w:t>
      </w:r>
      <w:r w:rsidR="00DB4DE8" w:rsidRPr="007148A6">
        <w:rPr>
          <w:rFonts w:ascii="Arial" w:hAnsi="Arial" w:cs="Arial"/>
        </w:rPr>
        <w:t xml:space="preserve"> (ante una alta proporción de recursos provenientes del mayor nivel de gobierno, el ciudadano no tendría que soportar mayores costos</w:t>
      </w:r>
      <w:r w:rsidR="00213CD9" w:rsidRPr="007148A6">
        <w:rPr>
          <w:rFonts w:ascii="Arial" w:hAnsi="Arial" w:cs="Arial"/>
        </w:rPr>
        <w:t xml:space="preserve"> significativos</w:t>
      </w:r>
      <w:r w:rsidR="00DB4DE8" w:rsidRPr="007148A6">
        <w:rPr>
          <w:rFonts w:ascii="Arial" w:hAnsi="Arial" w:cs="Arial"/>
        </w:rPr>
        <w:t xml:space="preserve"> por demandas adicionales de servicios ya que cargarían con ellos los ciudadanos de otras jurisdicciones). La importancia de este concepto es fundamental para una realidad tan dispar como es el caso argentino en el que </w:t>
      </w:r>
      <w:r w:rsidR="009C796D" w:rsidRPr="007148A6">
        <w:rPr>
          <w:rFonts w:ascii="Arial" w:hAnsi="Arial" w:cs="Arial"/>
        </w:rPr>
        <w:t>algunas</w:t>
      </w:r>
      <w:r w:rsidR="00DB4DE8" w:rsidRPr="007148A6">
        <w:rPr>
          <w:rFonts w:ascii="Arial" w:hAnsi="Arial" w:cs="Arial"/>
        </w:rPr>
        <w:t xml:space="preserve"> jurisdicci</w:t>
      </w:r>
      <w:r w:rsidR="009C796D" w:rsidRPr="007148A6">
        <w:rPr>
          <w:rFonts w:ascii="Arial" w:hAnsi="Arial" w:cs="Arial"/>
        </w:rPr>
        <w:t>ones</w:t>
      </w:r>
      <w:r w:rsidR="00DB4DE8" w:rsidRPr="007148A6">
        <w:rPr>
          <w:rFonts w:ascii="Arial" w:hAnsi="Arial" w:cs="Arial"/>
        </w:rPr>
        <w:t xml:space="preserve"> subnacional</w:t>
      </w:r>
      <w:r w:rsidR="009C796D" w:rsidRPr="007148A6">
        <w:rPr>
          <w:rFonts w:ascii="Arial" w:hAnsi="Arial" w:cs="Arial"/>
        </w:rPr>
        <w:t>es</w:t>
      </w:r>
      <w:r w:rsidR="00DB4DE8" w:rsidRPr="007148A6">
        <w:rPr>
          <w:rFonts w:ascii="Arial" w:hAnsi="Arial" w:cs="Arial"/>
        </w:rPr>
        <w:t xml:space="preserve"> solventa</w:t>
      </w:r>
      <w:r w:rsidR="009C796D" w:rsidRPr="007148A6">
        <w:rPr>
          <w:rFonts w:ascii="Arial" w:hAnsi="Arial" w:cs="Arial"/>
        </w:rPr>
        <w:t>n</w:t>
      </w:r>
      <w:r w:rsidR="00DB4DE8" w:rsidRPr="007148A6">
        <w:rPr>
          <w:rFonts w:ascii="Arial" w:hAnsi="Arial" w:cs="Arial"/>
        </w:rPr>
        <w:t xml:space="preserve"> sus gastos con recursos </w:t>
      </w:r>
      <w:r w:rsidR="00DB4DE8" w:rsidRPr="007148A6">
        <w:rPr>
          <w:rFonts w:ascii="Arial" w:hAnsi="Arial" w:cs="Arial"/>
        </w:rPr>
        <w:lastRenderedPageBreak/>
        <w:t xml:space="preserve">fiscales mayoritariamente propios y otras </w:t>
      </w:r>
      <w:r w:rsidR="009C796D" w:rsidRPr="007148A6">
        <w:rPr>
          <w:rFonts w:ascii="Arial" w:hAnsi="Arial" w:cs="Arial"/>
        </w:rPr>
        <w:t xml:space="preserve">lo </w:t>
      </w:r>
      <w:r w:rsidR="00DB4DE8" w:rsidRPr="007148A6">
        <w:rPr>
          <w:rFonts w:ascii="Arial" w:hAnsi="Arial" w:cs="Arial"/>
        </w:rPr>
        <w:t xml:space="preserve">financian </w:t>
      </w:r>
      <w:r w:rsidR="009C796D" w:rsidRPr="007148A6">
        <w:rPr>
          <w:rFonts w:ascii="Arial" w:hAnsi="Arial" w:cs="Arial"/>
        </w:rPr>
        <w:t>en un 80</w:t>
      </w:r>
      <w:r w:rsidR="00213CD9" w:rsidRPr="007148A6">
        <w:rPr>
          <w:rFonts w:ascii="Arial" w:hAnsi="Arial" w:cs="Arial"/>
        </w:rPr>
        <w:t>/</w:t>
      </w:r>
      <w:r w:rsidR="009C796D" w:rsidRPr="007148A6">
        <w:rPr>
          <w:rFonts w:ascii="Arial" w:hAnsi="Arial" w:cs="Arial"/>
        </w:rPr>
        <w:t>90% o más con transferencias o recursos coparticipa</w:t>
      </w:r>
      <w:r w:rsidR="00213CD9" w:rsidRPr="007148A6">
        <w:rPr>
          <w:rFonts w:ascii="Arial" w:hAnsi="Arial" w:cs="Arial"/>
        </w:rPr>
        <w:t>dos</w:t>
      </w:r>
      <w:r w:rsidR="009C796D" w:rsidRPr="007148A6">
        <w:rPr>
          <w:rFonts w:ascii="Arial" w:hAnsi="Arial" w:cs="Arial"/>
        </w:rPr>
        <w:t>.</w:t>
      </w:r>
      <w:r w:rsidR="009C796D" w:rsidRPr="007148A6">
        <w:rPr>
          <w:rStyle w:val="Refdenotaalpie"/>
          <w:rFonts w:ascii="Arial" w:hAnsi="Arial" w:cs="Arial"/>
        </w:rPr>
        <w:footnoteReference w:id="10"/>
      </w:r>
    </w:p>
    <w:p w14:paraId="6D10CE46" w14:textId="7D929ADD" w:rsidR="007F12E8" w:rsidRPr="007148A6" w:rsidRDefault="001B4BBA" w:rsidP="006A5C3C">
      <w:pPr>
        <w:spacing w:before="120" w:after="120"/>
        <w:jc w:val="both"/>
        <w:rPr>
          <w:rFonts w:ascii="Arial" w:hAnsi="Arial" w:cs="Arial"/>
        </w:rPr>
      </w:pPr>
      <w:r w:rsidRPr="007148A6">
        <w:rPr>
          <w:rFonts w:ascii="Arial" w:hAnsi="Arial" w:cs="Arial"/>
        </w:rPr>
        <w:t>Una cuestión para destacar</w:t>
      </w:r>
      <w:r w:rsidR="00061C4F" w:rsidRPr="007148A6">
        <w:rPr>
          <w:rFonts w:ascii="Arial" w:hAnsi="Arial" w:cs="Arial"/>
        </w:rPr>
        <w:t xml:space="preserve"> del trabajo de este autor es que no existe, al parecer, voluntad política de descentralización de recursos tributarios sino más bien mantener la centralización en aras de simplificar y armonizar el sistema</w:t>
      </w:r>
      <w:r w:rsidR="00FE5179" w:rsidRPr="007148A6">
        <w:rPr>
          <w:rFonts w:ascii="Arial" w:hAnsi="Arial" w:cs="Arial"/>
        </w:rPr>
        <w:t>, a pesar de los diversos acuerdo</w:t>
      </w:r>
      <w:r w:rsidR="00F757BC" w:rsidRPr="007148A6">
        <w:rPr>
          <w:rFonts w:ascii="Arial" w:hAnsi="Arial" w:cs="Arial"/>
        </w:rPr>
        <w:t>s</w:t>
      </w:r>
      <w:r w:rsidR="00FE5179" w:rsidRPr="007148A6">
        <w:rPr>
          <w:rFonts w:ascii="Arial" w:hAnsi="Arial" w:cs="Arial"/>
        </w:rPr>
        <w:t xml:space="preserve"> o pactos fiscales celebrados entre la Nación, las provincias y la CABA (por ejemplo, el ratificado por ley 25</w:t>
      </w:r>
      <w:r w:rsidR="00233ECB" w:rsidRPr="007148A6">
        <w:rPr>
          <w:rFonts w:ascii="Arial" w:hAnsi="Arial" w:cs="Arial"/>
        </w:rPr>
        <w:t>.</w:t>
      </w:r>
      <w:r w:rsidR="00FE5179" w:rsidRPr="007148A6">
        <w:rPr>
          <w:rFonts w:ascii="Arial" w:hAnsi="Arial" w:cs="Arial"/>
        </w:rPr>
        <w:t>570 de 2002).</w:t>
      </w:r>
    </w:p>
    <w:p w14:paraId="09649BBE" w14:textId="06B64BC9" w:rsidR="00FE5179" w:rsidRPr="007148A6" w:rsidRDefault="00FE5179" w:rsidP="006A5C3C">
      <w:pPr>
        <w:spacing w:before="120" w:after="120"/>
        <w:jc w:val="both"/>
        <w:rPr>
          <w:rFonts w:ascii="Arial" w:hAnsi="Arial" w:cs="Arial"/>
        </w:rPr>
      </w:pPr>
      <w:r w:rsidRPr="007148A6">
        <w:rPr>
          <w:rFonts w:ascii="Arial" w:hAnsi="Arial" w:cs="Arial"/>
        </w:rPr>
        <w:t>Una opinión de este autor es que el reconocimiento de la Constitución de 1994 de la propiedad de los recursos no renovables por parte de las provincias sería una inequidad con relación a otras provincias que no poseen esos recursos</w:t>
      </w:r>
      <w:r w:rsidR="0013085D" w:rsidRPr="007148A6">
        <w:rPr>
          <w:rFonts w:ascii="Arial" w:hAnsi="Arial" w:cs="Arial"/>
        </w:rPr>
        <w:t>, lo cual podría además contradecir el principio de correspondencia fiscal</w:t>
      </w:r>
      <w:r w:rsidRPr="007148A6">
        <w:rPr>
          <w:rFonts w:ascii="Arial" w:hAnsi="Arial" w:cs="Arial"/>
        </w:rPr>
        <w:t xml:space="preserve">. Esta posición es discutible: La reforma constitucional de 1994 en su art. 124 no asigna esta propiedad a las provincias, sino que reconoce formalmente un hecho vigente desde la organización nacional ya que la constitución de 1853 no discutía esta cuestión </w:t>
      </w:r>
      <w:r w:rsidR="0013085D" w:rsidRPr="007148A6">
        <w:rPr>
          <w:rFonts w:ascii="Arial" w:hAnsi="Arial" w:cs="Arial"/>
        </w:rPr>
        <w:t>(</w:t>
      </w:r>
      <w:r w:rsidRPr="007148A6">
        <w:rPr>
          <w:rFonts w:ascii="Arial" w:hAnsi="Arial" w:cs="Arial"/>
        </w:rPr>
        <w:t>esta propiedad fue sólo asignada a la nación durante los 6 años de vigencia de la reforma de 1949</w:t>
      </w:r>
      <w:r w:rsidR="0013085D" w:rsidRPr="007148A6">
        <w:rPr>
          <w:rFonts w:ascii="Arial" w:hAnsi="Arial" w:cs="Arial"/>
        </w:rPr>
        <w:t>)</w:t>
      </w:r>
      <w:r w:rsidRPr="007148A6">
        <w:rPr>
          <w:rFonts w:ascii="Arial" w:hAnsi="Arial" w:cs="Arial"/>
        </w:rPr>
        <w:t>. Por otra parte, las provincias que pueden carecer de estos recursos naturales</w:t>
      </w:r>
      <w:r w:rsidR="00042333" w:rsidRPr="007148A6">
        <w:rPr>
          <w:rFonts w:ascii="Arial" w:hAnsi="Arial" w:cs="Arial"/>
        </w:rPr>
        <w:t xml:space="preserve"> no renovables</w:t>
      </w:r>
      <w:r w:rsidRPr="007148A6">
        <w:rPr>
          <w:rFonts w:ascii="Arial" w:hAnsi="Arial" w:cs="Arial"/>
        </w:rPr>
        <w:t xml:space="preserve"> en general poseen otros como el suelo fértil, la abundancia de precipitaciones pluviales</w:t>
      </w:r>
      <w:r w:rsidR="0013085D" w:rsidRPr="007148A6">
        <w:rPr>
          <w:rFonts w:ascii="Arial" w:hAnsi="Arial" w:cs="Arial"/>
        </w:rPr>
        <w:t>, etc. Lo que sí sería necesario sostener es que el destino de las regalías por la explotación de estos recursos no debería dirigirse al financiamiento de gastos corrientes sino a inversiones y a la constitución de fondos de reserva ya que los mismos son agotables y debería observarse criterios de equidad respecto de las generaciones futuras.</w:t>
      </w:r>
      <w:r w:rsidR="00F1256C" w:rsidRPr="007148A6">
        <w:rPr>
          <w:rFonts w:ascii="Arial" w:hAnsi="Arial" w:cs="Arial"/>
        </w:rPr>
        <w:t xml:space="preserve"> Véanse los casos de los países del Mar del Norte</w:t>
      </w:r>
      <w:r w:rsidR="00042333" w:rsidRPr="007148A6">
        <w:rPr>
          <w:rFonts w:ascii="Arial" w:hAnsi="Arial" w:cs="Arial"/>
        </w:rPr>
        <w:t>. Noruega, por ejemplo</w:t>
      </w:r>
      <w:r w:rsidR="00F757BC" w:rsidRPr="007148A6">
        <w:rPr>
          <w:rFonts w:ascii="Arial" w:hAnsi="Arial" w:cs="Arial"/>
        </w:rPr>
        <w:t>, recibe regalías por la explotación de los yacimientos de petróleo submarinos de ese mar y los destina a un fondo de reserva para atender inversiones o necesidades futuras. Otro ejemplo destacable es el de Chile, que acumula reservas con el producido de la explotación del cobre y que lo destina a atender contingencias coyunturales (como en el caso de la crisis del efecto tequila de 1994/95).</w:t>
      </w:r>
    </w:p>
    <w:p w14:paraId="317065CA" w14:textId="155E6C50" w:rsidR="00610581" w:rsidRPr="007148A6" w:rsidRDefault="005632B9" w:rsidP="006A5C3C">
      <w:pPr>
        <w:spacing w:before="120" w:after="120"/>
        <w:jc w:val="both"/>
        <w:rPr>
          <w:rFonts w:ascii="Arial" w:hAnsi="Arial" w:cs="Arial"/>
        </w:rPr>
      </w:pPr>
      <w:r w:rsidRPr="007148A6">
        <w:rPr>
          <w:rFonts w:ascii="Arial" w:hAnsi="Arial" w:cs="Arial"/>
        </w:rPr>
        <w:t xml:space="preserve">Yendo a la propuesta concreta de Piffano, </w:t>
      </w:r>
      <w:r w:rsidR="004B2200" w:rsidRPr="007148A6">
        <w:rPr>
          <w:rFonts w:ascii="Arial" w:hAnsi="Arial" w:cs="Arial"/>
        </w:rPr>
        <w:t xml:space="preserve">ese autor sostiene como base fundamental de la misma el principio de correspondencia fiscal </w:t>
      </w:r>
      <w:r w:rsidR="00AF273A" w:rsidRPr="007148A6">
        <w:rPr>
          <w:rFonts w:ascii="Arial" w:hAnsi="Arial" w:cs="Arial"/>
        </w:rPr>
        <w:t>y la conveniencia que existan recursos de disponibilidad exclusiva por parte de ambos niveles de gobierno.</w:t>
      </w:r>
      <w:r w:rsidR="00930F02" w:rsidRPr="007148A6">
        <w:rPr>
          <w:rFonts w:ascii="Arial" w:hAnsi="Arial" w:cs="Arial"/>
        </w:rPr>
        <w:t xml:space="preserve"> P</w:t>
      </w:r>
      <w:r w:rsidR="00094D96" w:rsidRPr="007148A6">
        <w:rPr>
          <w:rFonts w:ascii="Arial" w:hAnsi="Arial" w:cs="Arial"/>
        </w:rPr>
        <w:t xml:space="preserve">or lo </w:t>
      </w:r>
      <w:r w:rsidR="00EE7AF7" w:rsidRPr="007148A6">
        <w:rPr>
          <w:rFonts w:ascii="Arial" w:hAnsi="Arial" w:cs="Arial"/>
        </w:rPr>
        <w:t>tanto,</w:t>
      </w:r>
      <w:r w:rsidR="00094D96" w:rsidRPr="007148A6">
        <w:rPr>
          <w:rFonts w:ascii="Arial" w:hAnsi="Arial" w:cs="Arial"/>
        </w:rPr>
        <w:t xml:space="preserve"> los aranceles aduaneros no debieran formar parte de la masa coparticipable</w:t>
      </w:r>
      <w:r w:rsidR="00286D63" w:rsidRPr="007148A6">
        <w:rPr>
          <w:rFonts w:ascii="Arial" w:hAnsi="Arial" w:cs="Arial"/>
        </w:rPr>
        <w:t>. Asimismo, los recursos</w:t>
      </w:r>
      <w:r w:rsidR="00700998" w:rsidRPr="007148A6">
        <w:rPr>
          <w:rFonts w:ascii="Arial" w:hAnsi="Arial" w:cs="Arial"/>
        </w:rPr>
        <w:t xml:space="preserve"> que sean concurrentes debieran ser objeto de </w:t>
      </w:r>
      <w:r w:rsidR="00EE7AF7" w:rsidRPr="007148A6">
        <w:rPr>
          <w:rFonts w:ascii="Arial" w:hAnsi="Arial" w:cs="Arial"/>
        </w:rPr>
        <w:t>armonización.</w:t>
      </w:r>
      <w:r w:rsidR="003225CC" w:rsidRPr="007148A6">
        <w:rPr>
          <w:rFonts w:ascii="Arial" w:hAnsi="Arial" w:cs="Arial"/>
        </w:rPr>
        <w:t xml:space="preserve"> </w:t>
      </w:r>
    </w:p>
    <w:p w14:paraId="626E0005" w14:textId="207A1370" w:rsidR="003225CC" w:rsidRPr="007148A6" w:rsidRDefault="00F757BC" w:rsidP="006A5C3C">
      <w:pPr>
        <w:spacing w:before="120" w:after="120"/>
        <w:jc w:val="both"/>
        <w:rPr>
          <w:rFonts w:ascii="Arial" w:hAnsi="Arial" w:cs="Arial"/>
        </w:rPr>
      </w:pPr>
      <w:r w:rsidRPr="007148A6">
        <w:rPr>
          <w:rFonts w:ascii="Arial" w:hAnsi="Arial" w:cs="Arial"/>
        </w:rPr>
        <w:t>También sostiene este autor que</w:t>
      </w:r>
      <w:r w:rsidR="00783974" w:rsidRPr="007148A6">
        <w:rPr>
          <w:rFonts w:ascii="Arial" w:hAnsi="Arial" w:cs="Arial"/>
        </w:rPr>
        <w:t xml:space="preserve"> la distribución primaria </w:t>
      </w:r>
      <w:r w:rsidRPr="007148A6">
        <w:rPr>
          <w:rFonts w:ascii="Arial" w:hAnsi="Arial" w:cs="Arial"/>
        </w:rPr>
        <w:t xml:space="preserve">no </w:t>
      </w:r>
      <w:r w:rsidR="00783974" w:rsidRPr="007148A6">
        <w:rPr>
          <w:rFonts w:ascii="Arial" w:hAnsi="Arial" w:cs="Arial"/>
        </w:rPr>
        <w:t xml:space="preserve">debería ser calculada sobre la base de los porcentajes </w:t>
      </w:r>
      <w:r w:rsidR="00290087" w:rsidRPr="007148A6">
        <w:rPr>
          <w:rFonts w:ascii="Arial" w:hAnsi="Arial" w:cs="Arial"/>
        </w:rPr>
        <w:t xml:space="preserve">que en el gasto público total </w:t>
      </w:r>
      <w:r w:rsidRPr="007148A6">
        <w:rPr>
          <w:rFonts w:ascii="Arial" w:hAnsi="Arial" w:cs="Arial"/>
        </w:rPr>
        <w:t xml:space="preserve">estén a cargo de cada nivel </w:t>
      </w:r>
      <w:r w:rsidR="00AA618D" w:rsidRPr="007148A6">
        <w:rPr>
          <w:rFonts w:ascii="Arial" w:hAnsi="Arial" w:cs="Arial"/>
        </w:rPr>
        <w:t>de gobierno</w:t>
      </w:r>
      <w:r w:rsidR="00F74A85" w:rsidRPr="007148A6">
        <w:rPr>
          <w:rFonts w:ascii="Arial" w:hAnsi="Arial" w:cs="Arial"/>
        </w:rPr>
        <w:t>,</w:t>
      </w:r>
      <w:r w:rsidR="00AA618D" w:rsidRPr="007148A6">
        <w:rPr>
          <w:rFonts w:ascii="Arial" w:hAnsi="Arial" w:cs="Arial"/>
        </w:rPr>
        <w:t xml:space="preserve"> ya que eso podría llevar a premiar a los</w:t>
      </w:r>
      <w:r w:rsidR="001C2DF8" w:rsidRPr="007148A6">
        <w:rPr>
          <w:rFonts w:ascii="Arial" w:hAnsi="Arial" w:cs="Arial"/>
        </w:rPr>
        <w:t xml:space="preserve"> gobiernos provinciales más gastadores.</w:t>
      </w:r>
    </w:p>
    <w:p w14:paraId="001A7AFE" w14:textId="60A01836" w:rsidR="00255F72" w:rsidRPr="007148A6" w:rsidRDefault="000212D6" w:rsidP="006A5C3C">
      <w:pPr>
        <w:spacing w:before="120" w:after="120"/>
        <w:jc w:val="both"/>
        <w:rPr>
          <w:rFonts w:ascii="Arial" w:hAnsi="Arial" w:cs="Arial"/>
        </w:rPr>
      </w:pPr>
      <w:r w:rsidRPr="007148A6">
        <w:rPr>
          <w:rFonts w:ascii="Arial" w:hAnsi="Arial" w:cs="Arial"/>
        </w:rPr>
        <w:t>Finalmente,</w:t>
      </w:r>
      <w:r w:rsidR="00503CA0" w:rsidRPr="007148A6">
        <w:rPr>
          <w:rFonts w:ascii="Arial" w:hAnsi="Arial" w:cs="Arial"/>
        </w:rPr>
        <w:t xml:space="preserve"> </w:t>
      </w:r>
      <w:r w:rsidR="00F74A85" w:rsidRPr="007148A6">
        <w:rPr>
          <w:rFonts w:ascii="Arial" w:hAnsi="Arial" w:cs="Arial"/>
        </w:rPr>
        <w:t>Piffano</w:t>
      </w:r>
      <w:r w:rsidR="00503CA0" w:rsidRPr="007148A6">
        <w:rPr>
          <w:rFonts w:ascii="Arial" w:hAnsi="Arial" w:cs="Arial"/>
        </w:rPr>
        <w:t xml:space="preserve"> llega a la conclusión</w:t>
      </w:r>
      <w:r w:rsidR="00E07719" w:rsidRPr="007148A6">
        <w:rPr>
          <w:rFonts w:ascii="Arial" w:hAnsi="Arial" w:cs="Arial"/>
        </w:rPr>
        <w:t xml:space="preserve"> de que la relación fiscal entre los distintos </w:t>
      </w:r>
      <w:r w:rsidR="00B4706B" w:rsidRPr="007148A6">
        <w:rPr>
          <w:rFonts w:ascii="Arial" w:hAnsi="Arial" w:cs="Arial"/>
        </w:rPr>
        <w:t xml:space="preserve">niveles de gobierno </w:t>
      </w:r>
      <w:r w:rsidR="009374F6" w:rsidRPr="007148A6">
        <w:rPr>
          <w:rFonts w:ascii="Arial" w:hAnsi="Arial" w:cs="Arial"/>
        </w:rPr>
        <w:t xml:space="preserve">debería </w:t>
      </w:r>
      <w:r w:rsidR="00B10163" w:rsidRPr="007148A6">
        <w:rPr>
          <w:rFonts w:ascii="Arial" w:hAnsi="Arial" w:cs="Arial"/>
        </w:rPr>
        <w:t xml:space="preserve">guiarse por los </w:t>
      </w:r>
      <w:r w:rsidR="009B730D" w:rsidRPr="007148A6">
        <w:rPr>
          <w:rFonts w:ascii="Arial" w:hAnsi="Arial" w:cs="Arial"/>
        </w:rPr>
        <w:t xml:space="preserve">siguientes objetivos (que son coincidentes con los </w:t>
      </w:r>
      <w:r w:rsidR="00B10163" w:rsidRPr="007148A6">
        <w:rPr>
          <w:rFonts w:ascii="Arial" w:hAnsi="Arial" w:cs="Arial"/>
        </w:rPr>
        <w:t>principios de Richard Musgrave</w:t>
      </w:r>
      <w:r w:rsidR="009B730D" w:rsidRPr="007148A6">
        <w:rPr>
          <w:rFonts w:ascii="Arial" w:hAnsi="Arial" w:cs="Arial"/>
        </w:rPr>
        <w:t xml:space="preserve">, </w:t>
      </w:r>
      <w:r w:rsidR="009848B6" w:rsidRPr="007148A6">
        <w:rPr>
          <w:rFonts w:ascii="Arial" w:hAnsi="Arial" w:cs="Arial"/>
        </w:rPr>
        <w:t>o funciones de la economía pública)</w:t>
      </w:r>
      <w:r w:rsidR="00B10163" w:rsidRPr="007148A6">
        <w:rPr>
          <w:rFonts w:ascii="Arial" w:hAnsi="Arial" w:cs="Arial"/>
        </w:rPr>
        <w:t xml:space="preserve">: </w:t>
      </w:r>
      <w:r w:rsidR="0038458A" w:rsidRPr="007148A6">
        <w:rPr>
          <w:rFonts w:ascii="Arial" w:hAnsi="Arial" w:cs="Arial"/>
        </w:rPr>
        <w:t xml:space="preserve">una adecuada </w:t>
      </w:r>
      <w:r w:rsidR="00DD6D5F" w:rsidRPr="007148A6">
        <w:rPr>
          <w:rFonts w:ascii="Arial" w:hAnsi="Arial" w:cs="Arial"/>
        </w:rPr>
        <w:t>provisión de bienes públicos a cargo de cada nivel de gobierno (efi</w:t>
      </w:r>
      <w:r w:rsidR="00E74AC0" w:rsidRPr="007148A6">
        <w:rPr>
          <w:rFonts w:ascii="Arial" w:hAnsi="Arial" w:cs="Arial"/>
        </w:rPr>
        <w:t>ciencia en la asignación de recursos</w:t>
      </w:r>
      <w:r w:rsidR="009848B6" w:rsidRPr="007148A6">
        <w:rPr>
          <w:rFonts w:ascii="Arial" w:hAnsi="Arial" w:cs="Arial"/>
        </w:rPr>
        <w:t xml:space="preserve"> o función de asignación</w:t>
      </w:r>
      <w:r w:rsidR="00E74AC0" w:rsidRPr="007148A6">
        <w:rPr>
          <w:rFonts w:ascii="Arial" w:hAnsi="Arial" w:cs="Arial"/>
        </w:rPr>
        <w:t xml:space="preserve">), </w:t>
      </w:r>
      <w:r w:rsidR="005E4B6D" w:rsidRPr="007148A6">
        <w:rPr>
          <w:rFonts w:ascii="Arial" w:hAnsi="Arial" w:cs="Arial"/>
        </w:rPr>
        <w:t xml:space="preserve">el </w:t>
      </w:r>
      <w:r w:rsidR="00440DDF" w:rsidRPr="007148A6">
        <w:rPr>
          <w:rFonts w:ascii="Arial" w:hAnsi="Arial" w:cs="Arial"/>
        </w:rPr>
        <w:t>logro</w:t>
      </w:r>
      <w:r w:rsidR="005E4B6D" w:rsidRPr="007148A6">
        <w:rPr>
          <w:rFonts w:ascii="Arial" w:hAnsi="Arial" w:cs="Arial"/>
        </w:rPr>
        <w:t xml:space="preserve"> de equidad y solidaridad interjurisdiccional</w:t>
      </w:r>
      <w:r w:rsidR="00713E60" w:rsidRPr="007148A6">
        <w:rPr>
          <w:rFonts w:ascii="Arial" w:hAnsi="Arial" w:cs="Arial"/>
        </w:rPr>
        <w:t xml:space="preserve"> (justicia en la distribución de la renta</w:t>
      </w:r>
      <w:r w:rsidR="009848B6" w:rsidRPr="007148A6">
        <w:rPr>
          <w:rFonts w:ascii="Arial" w:hAnsi="Arial" w:cs="Arial"/>
        </w:rPr>
        <w:t xml:space="preserve"> o función de distribución</w:t>
      </w:r>
      <w:r w:rsidR="00713E60" w:rsidRPr="007148A6">
        <w:rPr>
          <w:rFonts w:ascii="Arial" w:hAnsi="Arial" w:cs="Arial"/>
        </w:rPr>
        <w:t xml:space="preserve">) y </w:t>
      </w:r>
      <w:r w:rsidR="008646E5" w:rsidRPr="007148A6">
        <w:rPr>
          <w:rFonts w:ascii="Arial" w:hAnsi="Arial" w:cs="Arial"/>
        </w:rPr>
        <w:t>garantizar la estabilidad macroeconómica</w:t>
      </w:r>
      <w:r w:rsidR="007306F1" w:rsidRPr="007148A6">
        <w:rPr>
          <w:rFonts w:ascii="Arial" w:hAnsi="Arial" w:cs="Arial"/>
        </w:rPr>
        <w:t xml:space="preserve"> (</w:t>
      </w:r>
      <w:r w:rsidR="00576A4D" w:rsidRPr="007148A6">
        <w:rPr>
          <w:rFonts w:ascii="Arial" w:hAnsi="Arial" w:cs="Arial"/>
        </w:rPr>
        <w:t>estabilidad o anticicli</w:t>
      </w:r>
      <w:r w:rsidR="007039F7" w:rsidRPr="007148A6">
        <w:rPr>
          <w:rFonts w:ascii="Arial" w:hAnsi="Arial" w:cs="Arial"/>
        </w:rPr>
        <w:t>cidad</w:t>
      </w:r>
      <w:r w:rsidR="009848B6" w:rsidRPr="007148A6">
        <w:rPr>
          <w:rFonts w:ascii="Arial" w:hAnsi="Arial" w:cs="Arial"/>
        </w:rPr>
        <w:t xml:space="preserve"> o función de estabilización</w:t>
      </w:r>
      <w:r w:rsidR="00A61333" w:rsidRPr="007148A6">
        <w:rPr>
          <w:rFonts w:ascii="Arial" w:hAnsi="Arial" w:cs="Arial"/>
        </w:rPr>
        <w:t xml:space="preserve"> de las fluctuaciones de la demanda agregada</w:t>
      </w:r>
      <w:r w:rsidR="007039F7" w:rsidRPr="007148A6">
        <w:rPr>
          <w:rFonts w:ascii="Arial" w:hAnsi="Arial" w:cs="Arial"/>
        </w:rPr>
        <w:t>)</w:t>
      </w:r>
      <w:r w:rsidRPr="007148A6">
        <w:rPr>
          <w:rFonts w:ascii="Arial" w:hAnsi="Arial" w:cs="Arial"/>
        </w:rPr>
        <w:t>.</w:t>
      </w:r>
      <w:r w:rsidRPr="007148A6">
        <w:rPr>
          <w:rStyle w:val="Refdenotaalpie"/>
          <w:rFonts w:ascii="Arial" w:hAnsi="Arial" w:cs="Arial"/>
        </w:rPr>
        <w:footnoteReference w:id="11"/>
      </w:r>
    </w:p>
    <w:p w14:paraId="127D7DE0" w14:textId="7D1C153F" w:rsidR="00AB13F7" w:rsidRPr="007148A6" w:rsidRDefault="009D1F80" w:rsidP="006A5C3C">
      <w:pPr>
        <w:spacing w:before="120" w:after="120"/>
        <w:jc w:val="both"/>
        <w:rPr>
          <w:rFonts w:ascii="Arial" w:hAnsi="Arial" w:cs="Arial"/>
        </w:rPr>
      </w:pPr>
      <w:r w:rsidRPr="007148A6">
        <w:rPr>
          <w:rFonts w:ascii="Arial" w:hAnsi="Arial" w:cs="Arial"/>
        </w:rPr>
        <w:lastRenderedPageBreak/>
        <w:t xml:space="preserve">La propuesta de reforma de Piffano </w:t>
      </w:r>
      <w:r w:rsidR="004A09C7" w:rsidRPr="007148A6">
        <w:rPr>
          <w:rFonts w:ascii="Arial" w:hAnsi="Arial" w:cs="Arial"/>
        </w:rPr>
        <w:t>trata de comprender t</w:t>
      </w:r>
      <w:r w:rsidR="00444BEB" w:rsidRPr="007148A6">
        <w:rPr>
          <w:rFonts w:ascii="Arial" w:hAnsi="Arial" w:cs="Arial"/>
        </w:rPr>
        <w:t>odo el relacionamiento</w:t>
      </w:r>
      <w:r w:rsidR="003A43AD" w:rsidRPr="007148A6">
        <w:rPr>
          <w:rFonts w:ascii="Arial" w:hAnsi="Arial" w:cs="Arial"/>
        </w:rPr>
        <w:t xml:space="preserve"> fiscal entre los distintos niveles de gobierno. Para ello define cuatro “pilares” sobre </w:t>
      </w:r>
      <w:r w:rsidR="005D2516" w:rsidRPr="007148A6">
        <w:rPr>
          <w:rFonts w:ascii="Arial" w:hAnsi="Arial" w:cs="Arial"/>
        </w:rPr>
        <w:t xml:space="preserve">los que debe basarse el sistema: </w:t>
      </w:r>
      <w:r w:rsidR="005612FD" w:rsidRPr="007148A6">
        <w:rPr>
          <w:rFonts w:ascii="Arial" w:hAnsi="Arial" w:cs="Arial"/>
        </w:rPr>
        <w:t>la asignación de potestades fiscales entre los distintos niveles,</w:t>
      </w:r>
      <w:r w:rsidR="007A699F" w:rsidRPr="007148A6">
        <w:rPr>
          <w:rFonts w:ascii="Arial" w:hAnsi="Arial" w:cs="Arial"/>
        </w:rPr>
        <w:t xml:space="preserve"> </w:t>
      </w:r>
      <w:r w:rsidR="00746705" w:rsidRPr="007148A6">
        <w:rPr>
          <w:rFonts w:ascii="Arial" w:hAnsi="Arial" w:cs="Arial"/>
        </w:rPr>
        <w:t>la definición de reglas ma</w:t>
      </w:r>
      <w:r w:rsidR="0054689D" w:rsidRPr="007148A6">
        <w:rPr>
          <w:rFonts w:ascii="Arial" w:hAnsi="Arial" w:cs="Arial"/>
        </w:rPr>
        <w:t>crofiscales a las que deben ajustarse las distintas jurisdicciones</w:t>
      </w:r>
      <w:r w:rsidR="00816353" w:rsidRPr="007148A6">
        <w:rPr>
          <w:rFonts w:ascii="Arial" w:hAnsi="Arial" w:cs="Arial"/>
        </w:rPr>
        <w:t>,</w:t>
      </w:r>
      <w:r w:rsidR="005612FD" w:rsidRPr="007148A6">
        <w:rPr>
          <w:rFonts w:ascii="Arial" w:hAnsi="Arial" w:cs="Arial"/>
        </w:rPr>
        <w:t xml:space="preserve"> </w:t>
      </w:r>
      <w:r w:rsidR="00C0208B" w:rsidRPr="007148A6">
        <w:rPr>
          <w:rFonts w:ascii="Arial" w:hAnsi="Arial" w:cs="Arial"/>
        </w:rPr>
        <w:t>la determinación de la masa de recursos coparticipables</w:t>
      </w:r>
      <w:r w:rsidR="00816353" w:rsidRPr="007148A6">
        <w:rPr>
          <w:rFonts w:ascii="Arial" w:hAnsi="Arial" w:cs="Arial"/>
        </w:rPr>
        <w:t xml:space="preserve"> y, finalmente, </w:t>
      </w:r>
      <w:r w:rsidR="00EF553E" w:rsidRPr="007148A6">
        <w:rPr>
          <w:rFonts w:ascii="Arial" w:hAnsi="Arial" w:cs="Arial"/>
        </w:rPr>
        <w:t>la estructura institucional a la que debe ajustarse el sistema (definición de roles del organismo fiscal federal</w:t>
      </w:r>
      <w:r w:rsidR="000773AD" w:rsidRPr="007148A6">
        <w:rPr>
          <w:rFonts w:ascii="Arial" w:hAnsi="Arial" w:cs="Arial"/>
        </w:rPr>
        <w:t xml:space="preserve"> y los acuerdos de administración </w:t>
      </w:r>
      <w:r w:rsidR="004A48CC" w:rsidRPr="007148A6">
        <w:rPr>
          <w:rFonts w:ascii="Arial" w:hAnsi="Arial" w:cs="Arial"/>
        </w:rPr>
        <w:t>tributar</w:t>
      </w:r>
      <w:r w:rsidR="00F74A85" w:rsidRPr="007148A6">
        <w:rPr>
          <w:rFonts w:ascii="Arial" w:hAnsi="Arial" w:cs="Arial"/>
        </w:rPr>
        <w:t>i</w:t>
      </w:r>
      <w:r w:rsidR="004A48CC" w:rsidRPr="007148A6">
        <w:rPr>
          <w:rFonts w:ascii="Arial" w:hAnsi="Arial" w:cs="Arial"/>
        </w:rPr>
        <w:t>a</w:t>
      </w:r>
      <w:r w:rsidR="000773AD" w:rsidRPr="007148A6">
        <w:rPr>
          <w:rFonts w:ascii="Arial" w:hAnsi="Arial" w:cs="Arial"/>
        </w:rPr>
        <w:t xml:space="preserve"> federal</w:t>
      </w:r>
      <w:r w:rsidR="004A48CC" w:rsidRPr="007148A6">
        <w:rPr>
          <w:rFonts w:ascii="Arial" w:hAnsi="Arial" w:cs="Arial"/>
        </w:rPr>
        <w:t>).</w:t>
      </w:r>
    </w:p>
    <w:p w14:paraId="08650556" w14:textId="2ACA81BF" w:rsidR="00D44460" w:rsidRPr="007148A6" w:rsidRDefault="00D44460" w:rsidP="006A5C3C">
      <w:pPr>
        <w:spacing w:before="120" w:after="120"/>
        <w:jc w:val="both"/>
        <w:rPr>
          <w:rFonts w:ascii="Arial" w:hAnsi="Arial" w:cs="Arial"/>
        </w:rPr>
      </w:pPr>
      <w:r w:rsidRPr="007148A6">
        <w:rPr>
          <w:rFonts w:ascii="Arial" w:hAnsi="Arial" w:cs="Arial"/>
        </w:rPr>
        <w:t>En cuanto al primer pilar</w:t>
      </w:r>
      <w:r w:rsidR="007359CD" w:rsidRPr="007148A6">
        <w:rPr>
          <w:rFonts w:ascii="Arial" w:hAnsi="Arial" w:cs="Arial"/>
        </w:rPr>
        <w:t xml:space="preserve"> </w:t>
      </w:r>
      <w:r w:rsidR="00F14C16" w:rsidRPr="007148A6">
        <w:rPr>
          <w:rFonts w:ascii="Arial" w:hAnsi="Arial" w:cs="Arial"/>
        </w:rPr>
        <w:t xml:space="preserve">propone </w:t>
      </w:r>
      <w:r w:rsidR="00156AF8" w:rsidRPr="007148A6">
        <w:rPr>
          <w:rFonts w:ascii="Arial" w:hAnsi="Arial" w:cs="Arial"/>
        </w:rPr>
        <w:t>que las provincias sustituyan sus actuales impuestos a los ingresos brutos y de sellos por un impuesto a las ventas minoristas (</w:t>
      </w:r>
      <w:r w:rsidR="008824A9" w:rsidRPr="007148A6">
        <w:rPr>
          <w:rFonts w:ascii="Arial" w:hAnsi="Arial" w:cs="Arial"/>
        </w:rPr>
        <w:t>o, en una primera etapa</w:t>
      </w:r>
      <w:r w:rsidR="00DB0954" w:rsidRPr="007148A6">
        <w:rPr>
          <w:rFonts w:ascii="Arial" w:hAnsi="Arial" w:cs="Arial"/>
        </w:rPr>
        <w:t xml:space="preserve">, un impuesto que </w:t>
      </w:r>
      <w:r w:rsidR="00B50F6F" w:rsidRPr="007148A6">
        <w:rPr>
          <w:rFonts w:ascii="Arial" w:hAnsi="Arial" w:cs="Arial"/>
        </w:rPr>
        <w:t>grave las ventas mayoristas y mino</w:t>
      </w:r>
      <w:r w:rsidR="00785B58" w:rsidRPr="007148A6">
        <w:rPr>
          <w:rFonts w:ascii="Arial" w:hAnsi="Arial" w:cs="Arial"/>
        </w:rPr>
        <w:t>ristas</w:t>
      </w:r>
      <w:r w:rsidR="00BC6060" w:rsidRPr="007148A6">
        <w:rPr>
          <w:rFonts w:ascii="Arial" w:hAnsi="Arial" w:cs="Arial"/>
        </w:rPr>
        <w:t xml:space="preserve">) descartando fundadamente </w:t>
      </w:r>
      <w:r w:rsidR="005A24C1" w:rsidRPr="007148A6">
        <w:rPr>
          <w:rFonts w:ascii="Arial" w:hAnsi="Arial" w:cs="Arial"/>
        </w:rPr>
        <w:t>la propuesta de otros autores de e</w:t>
      </w:r>
      <w:r w:rsidR="002C06A9" w:rsidRPr="007148A6">
        <w:rPr>
          <w:rFonts w:ascii="Arial" w:hAnsi="Arial" w:cs="Arial"/>
        </w:rPr>
        <w:t>stablecer un IVA subnacional</w:t>
      </w:r>
      <w:r w:rsidR="00F5160B" w:rsidRPr="007148A6">
        <w:rPr>
          <w:rFonts w:ascii="Arial" w:hAnsi="Arial" w:cs="Arial"/>
        </w:rPr>
        <w:t xml:space="preserve">. </w:t>
      </w:r>
      <w:r w:rsidR="00F72AC9" w:rsidRPr="007148A6">
        <w:rPr>
          <w:rFonts w:ascii="Arial" w:hAnsi="Arial" w:cs="Arial"/>
        </w:rPr>
        <w:t xml:space="preserve">Además, sugiere la </w:t>
      </w:r>
      <w:r w:rsidR="009372BD" w:rsidRPr="007148A6">
        <w:rPr>
          <w:rFonts w:ascii="Arial" w:hAnsi="Arial" w:cs="Arial"/>
        </w:rPr>
        <w:t>incorporación de un impuesto a las ganancias de personal físicas,</w:t>
      </w:r>
      <w:r w:rsidR="00BA11C2" w:rsidRPr="007148A6">
        <w:rPr>
          <w:rFonts w:ascii="Arial" w:hAnsi="Arial" w:cs="Arial"/>
        </w:rPr>
        <w:t xml:space="preserve"> tipo </w:t>
      </w:r>
      <w:r w:rsidR="00BA11C2" w:rsidRPr="007148A6">
        <w:rPr>
          <w:rFonts w:ascii="Arial" w:hAnsi="Arial" w:cs="Arial"/>
          <w:i/>
          <w:iCs/>
        </w:rPr>
        <w:t xml:space="preserve">flat </w:t>
      </w:r>
      <w:proofErr w:type="spellStart"/>
      <w:r w:rsidR="00BA11C2" w:rsidRPr="007148A6">
        <w:rPr>
          <w:rFonts w:ascii="Arial" w:hAnsi="Arial" w:cs="Arial"/>
          <w:i/>
          <w:iCs/>
        </w:rPr>
        <w:t>tax</w:t>
      </w:r>
      <w:proofErr w:type="spellEnd"/>
      <w:r w:rsidR="00BA11C2" w:rsidRPr="007148A6">
        <w:rPr>
          <w:rFonts w:ascii="Arial" w:hAnsi="Arial" w:cs="Arial"/>
        </w:rPr>
        <w:t>, o sea con alícu</w:t>
      </w:r>
      <w:r w:rsidR="00C26814" w:rsidRPr="007148A6">
        <w:rPr>
          <w:rFonts w:ascii="Arial" w:hAnsi="Arial" w:cs="Arial"/>
        </w:rPr>
        <w:t>ota plana</w:t>
      </w:r>
      <w:r w:rsidR="00B02A29" w:rsidRPr="007148A6">
        <w:rPr>
          <w:rFonts w:ascii="Arial" w:hAnsi="Arial" w:cs="Arial"/>
        </w:rPr>
        <w:t>, una alícuota adicional al impuesto nacional a los bienes personales</w:t>
      </w:r>
      <w:r w:rsidR="00B46DDE" w:rsidRPr="007148A6">
        <w:rPr>
          <w:rFonts w:ascii="Arial" w:hAnsi="Arial" w:cs="Arial"/>
        </w:rPr>
        <w:t xml:space="preserve">, un impuesto al uso de </w:t>
      </w:r>
      <w:r w:rsidR="007B05FE" w:rsidRPr="007148A6">
        <w:rPr>
          <w:rFonts w:ascii="Arial" w:hAnsi="Arial" w:cs="Arial"/>
        </w:rPr>
        <w:t>combustibles</w:t>
      </w:r>
      <w:r w:rsidR="00B46DDE" w:rsidRPr="007148A6">
        <w:rPr>
          <w:rFonts w:ascii="Arial" w:hAnsi="Arial" w:cs="Arial"/>
        </w:rPr>
        <w:t xml:space="preserve"> y </w:t>
      </w:r>
      <w:r w:rsidR="00C1226E" w:rsidRPr="007148A6">
        <w:rPr>
          <w:rFonts w:ascii="Arial" w:hAnsi="Arial" w:cs="Arial"/>
        </w:rPr>
        <w:t>contemplar la posibilidad de descentralizar</w:t>
      </w:r>
      <w:r w:rsidR="007B05FE" w:rsidRPr="007148A6">
        <w:rPr>
          <w:rFonts w:ascii="Arial" w:hAnsi="Arial" w:cs="Arial"/>
        </w:rPr>
        <w:t xml:space="preserve"> impuestos internos.</w:t>
      </w:r>
    </w:p>
    <w:p w14:paraId="35E03D33" w14:textId="38F17C52" w:rsidR="003A1008" w:rsidRPr="007148A6" w:rsidRDefault="009D2A8A" w:rsidP="006A5C3C">
      <w:pPr>
        <w:spacing w:before="120" w:after="120"/>
        <w:jc w:val="both"/>
        <w:rPr>
          <w:rFonts w:ascii="Arial" w:hAnsi="Arial" w:cs="Arial"/>
        </w:rPr>
      </w:pPr>
      <w:r w:rsidRPr="007148A6">
        <w:rPr>
          <w:rFonts w:ascii="Arial" w:hAnsi="Arial" w:cs="Arial"/>
        </w:rPr>
        <w:t>As</w:t>
      </w:r>
      <w:r w:rsidR="002C2F8C" w:rsidRPr="007148A6">
        <w:rPr>
          <w:rFonts w:ascii="Arial" w:hAnsi="Arial" w:cs="Arial"/>
        </w:rPr>
        <w:t>imismo, recomienda</w:t>
      </w:r>
      <w:r w:rsidR="004C4635" w:rsidRPr="007148A6">
        <w:rPr>
          <w:rFonts w:ascii="Arial" w:hAnsi="Arial" w:cs="Arial"/>
        </w:rPr>
        <w:t xml:space="preserve"> una adecuada coordinación (o armonización) </w:t>
      </w:r>
      <w:r w:rsidR="00E261DB" w:rsidRPr="007148A6">
        <w:rPr>
          <w:rFonts w:ascii="Arial" w:hAnsi="Arial" w:cs="Arial"/>
        </w:rPr>
        <w:t xml:space="preserve">entre los distintos niveles </w:t>
      </w:r>
      <w:r w:rsidR="001B7D9E" w:rsidRPr="007148A6">
        <w:rPr>
          <w:rFonts w:ascii="Arial" w:hAnsi="Arial" w:cs="Arial"/>
        </w:rPr>
        <w:t xml:space="preserve">para administrar estos impuestos de manera de </w:t>
      </w:r>
      <w:r w:rsidR="00F74A85" w:rsidRPr="007148A6">
        <w:rPr>
          <w:rFonts w:ascii="Arial" w:hAnsi="Arial" w:cs="Arial"/>
        </w:rPr>
        <w:t>proteger</w:t>
      </w:r>
      <w:r w:rsidR="008F2125" w:rsidRPr="007148A6">
        <w:rPr>
          <w:rFonts w:ascii="Arial" w:hAnsi="Arial" w:cs="Arial"/>
        </w:rPr>
        <w:t xml:space="preserve"> </w:t>
      </w:r>
      <w:r w:rsidR="001D4B51" w:rsidRPr="007148A6">
        <w:rPr>
          <w:rFonts w:ascii="Arial" w:hAnsi="Arial" w:cs="Arial"/>
        </w:rPr>
        <w:t>adecuadamente los</w:t>
      </w:r>
      <w:r w:rsidR="008F2125" w:rsidRPr="007148A6">
        <w:rPr>
          <w:rFonts w:ascii="Arial" w:hAnsi="Arial" w:cs="Arial"/>
        </w:rPr>
        <w:t xml:space="preserve"> intereses de los contribuyentes.</w:t>
      </w:r>
    </w:p>
    <w:p w14:paraId="7F8E268F" w14:textId="6FF57AFA" w:rsidR="001D4B51" w:rsidRPr="007148A6" w:rsidRDefault="001D4B51" w:rsidP="006A5C3C">
      <w:pPr>
        <w:spacing w:before="120" w:after="120"/>
        <w:jc w:val="both"/>
        <w:rPr>
          <w:rFonts w:ascii="Arial" w:hAnsi="Arial" w:cs="Arial"/>
        </w:rPr>
      </w:pPr>
      <w:r w:rsidRPr="007148A6">
        <w:rPr>
          <w:rFonts w:ascii="Arial" w:hAnsi="Arial" w:cs="Arial"/>
        </w:rPr>
        <w:t xml:space="preserve">En cuanto </w:t>
      </w:r>
      <w:r w:rsidR="00874DFD" w:rsidRPr="007148A6">
        <w:rPr>
          <w:rFonts w:ascii="Arial" w:hAnsi="Arial" w:cs="Arial"/>
        </w:rPr>
        <w:t xml:space="preserve">a tributos nacionales coparticipables, recomienda excluir de la masa coparticipable los impuestos al comercio exterior </w:t>
      </w:r>
      <w:r w:rsidR="00E53654" w:rsidRPr="007148A6">
        <w:rPr>
          <w:rFonts w:ascii="Arial" w:hAnsi="Arial" w:cs="Arial"/>
        </w:rPr>
        <w:t>y a los salarios</w:t>
      </w:r>
      <w:r w:rsidR="009A4304" w:rsidRPr="007148A6">
        <w:rPr>
          <w:rFonts w:ascii="Arial" w:hAnsi="Arial" w:cs="Arial"/>
        </w:rPr>
        <w:t xml:space="preserve"> (</w:t>
      </w:r>
      <w:r w:rsidR="00093B67" w:rsidRPr="007148A6">
        <w:rPr>
          <w:rFonts w:ascii="Arial" w:hAnsi="Arial" w:cs="Arial"/>
        </w:rPr>
        <w:t>aportes y contribuciones co</w:t>
      </w:r>
      <w:r w:rsidR="009A4304" w:rsidRPr="007148A6">
        <w:rPr>
          <w:rFonts w:ascii="Arial" w:hAnsi="Arial" w:cs="Arial"/>
        </w:rPr>
        <w:t xml:space="preserve">n destino </w:t>
      </w:r>
      <w:r w:rsidR="006C4A3C" w:rsidRPr="007148A6">
        <w:rPr>
          <w:rFonts w:ascii="Arial" w:hAnsi="Arial" w:cs="Arial"/>
        </w:rPr>
        <w:t>al sistema de seguridad social)</w:t>
      </w:r>
      <w:r w:rsidR="00796592" w:rsidRPr="007148A6">
        <w:rPr>
          <w:rFonts w:ascii="Arial" w:hAnsi="Arial" w:cs="Arial"/>
        </w:rPr>
        <w:t>.</w:t>
      </w:r>
      <w:r w:rsidR="009F11EC" w:rsidRPr="007148A6">
        <w:rPr>
          <w:rFonts w:ascii="Arial" w:hAnsi="Arial" w:cs="Arial"/>
        </w:rPr>
        <w:t xml:space="preserve"> En cuanto al impuesto sobre </w:t>
      </w:r>
      <w:r w:rsidR="001D5F72" w:rsidRPr="007148A6">
        <w:rPr>
          <w:rFonts w:ascii="Arial" w:hAnsi="Arial" w:cs="Arial"/>
        </w:rPr>
        <w:t>el valor agregado</w:t>
      </w:r>
      <w:r w:rsidR="004A3A0A" w:rsidRPr="007148A6">
        <w:rPr>
          <w:rFonts w:ascii="Arial" w:hAnsi="Arial" w:cs="Arial"/>
        </w:rPr>
        <w:t>, la incorporación a la masa no debería superar el 12%, quedan</w:t>
      </w:r>
      <w:r w:rsidR="00CB3005" w:rsidRPr="007148A6">
        <w:rPr>
          <w:rFonts w:ascii="Arial" w:hAnsi="Arial" w:cs="Arial"/>
        </w:rPr>
        <w:t xml:space="preserve">do el </w:t>
      </w:r>
      <w:r w:rsidR="00ED2475" w:rsidRPr="007148A6">
        <w:rPr>
          <w:rFonts w:ascii="Arial" w:hAnsi="Arial" w:cs="Arial"/>
        </w:rPr>
        <w:t>resto para exclusiva disposición del nivel nacional</w:t>
      </w:r>
      <w:r w:rsidR="000F5421" w:rsidRPr="007148A6">
        <w:rPr>
          <w:rFonts w:ascii="Arial" w:hAnsi="Arial" w:cs="Arial"/>
        </w:rPr>
        <w:t xml:space="preserve">. Respecto </w:t>
      </w:r>
      <w:r w:rsidR="00074CCE" w:rsidRPr="007148A6">
        <w:rPr>
          <w:rFonts w:ascii="Arial" w:hAnsi="Arial" w:cs="Arial"/>
        </w:rPr>
        <w:t>de las ganancias de socieda</w:t>
      </w:r>
      <w:r w:rsidR="00B21B4C" w:rsidRPr="007148A6">
        <w:rPr>
          <w:rFonts w:ascii="Arial" w:hAnsi="Arial" w:cs="Arial"/>
        </w:rPr>
        <w:t>des, la masa estaría integrada con</w:t>
      </w:r>
      <w:r w:rsidR="00A0677B" w:rsidRPr="007148A6">
        <w:rPr>
          <w:rFonts w:ascii="Arial" w:hAnsi="Arial" w:cs="Arial"/>
        </w:rPr>
        <w:t xml:space="preserve"> una porción de la </w:t>
      </w:r>
      <w:r w:rsidR="003100C5" w:rsidRPr="007148A6">
        <w:rPr>
          <w:rFonts w:ascii="Arial" w:hAnsi="Arial" w:cs="Arial"/>
        </w:rPr>
        <w:t>alícuota</w:t>
      </w:r>
      <w:r w:rsidR="00A0677B" w:rsidRPr="007148A6">
        <w:rPr>
          <w:rFonts w:ascii="Arial" w:hAnsi="Arial" w:cs="Arial"/>
        </w:rPr>
        <w:t xml:space="preserve"> hasta del 25%, quedando el resto </w:t>
      </w:r>
      <w:r w:rsidR="00A87395" w:rsidRPr="007148A6">
        <w:rPr>
          <w:rFonts w:ascii="Arial" w:hAnsi="Arial" w:cs="Arial"/>
        </w:rPr>
        <w:t xml:space="preserve">para </w:t>
      </w:r>
      <w:r w:rsidR="003100C5" w:rsidRPr="007148A6">
        <w:rPr>
          <w:rFonts w:ascii="Arial" w:hAnsi="Arial" w:cs="Arial"/>
        </w:rPr>
        <w:t>disposición autónoma del gobierno nacional.</w:t>
      </w:r>
      <w:r w:rsidR="005E62BA" w:rsidRPr="007148A6">
        <w:rPr>
          <w:rFonts w:ascii="Arial" w:hAnsi="Arial" w:cs="Arial"/>
        </w:rPr>
        <w:t xml:space="preserve"> El resto de los impuestos nacio</w:t>
      </w:r>
      <w:r w:rsidR="00325971" w:rsidRPr="007148A6">
        <w:rPr>
          <w:rFonts w:ascii="Arial" w:hAnsi="Arial" w:cs="Arial"/>
        </w:rPr>
        <w:t>nales creados o a crearse, deberían integra</w:t>
      </w:r>
      <w:r w:rsidR="0021283C" w:rsidRPr="007148A6">
        <w:rPr>
          <w:rFonts w:ascii="Arial" w:hAnsi="Arial" w:cs="Arial"/>
        </w:rPr>
        <w:t>r la masa sin límites.</w:t>
      </w:r>
      <w:r w:rsidR="00242FA4" w:rsidRPr="007148A6">
        <w:rPr>
          <w:rFonts w:ascii="Arial" w:hAnsi="Arial" w:cs="Arial"/>
        </w:rPr>
        <w:t xml:space="preserve"> No señala razones para estos </w:t>
      </w:r>
      <w:r w:rsidR="00265064" w:rsidRPr="007148A6">
        <w:rPr>
          <w:rFonts w:ascii="Arial" w:hAnsi="Arial" w:cs="Arial"/>
        </w:rPr>
        <w:t>límites,</w:t>
      </w:r>
      <w:r w:rsidR="00242FA4" w:rsidRPr="007148A6">
        <w:rPr>
          <w:rFonts w:ascii="Arial" w:hAnsi="Arial" w:cs="Arial"/>
        </w:rPr>
        <w:t xml:space="preserve"> aunque, para el caso del IVA, parece una aproximación a las distribución primaria vigente.</w:t>
      </w:r>
      <w:r w:rsidR="00A300B3" w:rsidRPr="007148A6">
        <w:rPr>
          <w:rStyle w:val="Refdenotaalpie"/>
          <w:rFonts w:ascii="Arial" w:hAnsi="Arial" w:cs="Arial"/>
        </w:rPr>
        <w:footnoteReference w:id="12"/>
      </w:r>
    </w:p>
    <w:p w14:paraId="11F70812" w14:textId="10F23BD4" w:rsidR="005213BB" w:rsidRPr="007148A6" w:rsidRDefault="006D1DD7" w:rsidP="005213BB">
      <w:pPr>
        <w:spacing w:before="120" w:after="120"/>
        <w:jc w:val="both"/>
        <w:rPr>
          <w:rFonts w:ascii="Arial" w:hAnsi="Arial" w:cs="Arial"/>
        </w:rPr>
      </w:pPr>
      <w:r w:rsidRPr="007148A6">
        <w:rPr>
          <w:rFonts w:ascii="Arial" w:hAnsi="Arial" w:cs="Arial"/>
        </w:rPr>
        <w:t>En lo que se refiere a las reglas macro fiscales (segundo pilar</w:t>
      </w:r>
      <w:r w:rsidR="000129E1" w:rsidRPr="007148A6">
        <w:rPr>
          <w:rFonts w:ascii="Arial" w:hAnsi="Arial" w:cs="Arial"/>
        </w:rPr>
        <w:t>)</w:t>
      </w:r>
      <w:r w:rsidR="00242FA4" w:rsidRPr="007148A6">
        <w:rPr>
          <w:rFonts w:ascii="Arial" w:hAnsi="Arial" w:cs="Arial"/>
        </w:rPr>
        <w:t xml:space="preserve">, Piffano propone la constitución de un fondo de estabilización poniendo límites </w:t>
      </w:r>
      <w:r w:rsidR="00265064" w:rsidRPr="007148A6">
        <w:rPr>
          <w:rFonts w:ascii="Arial" w:hAnsi="Arial" w:cs="Arial"/>
        </w:rPr>
        <w:t>o techos al gasto público en caso de crecimientos coyunturales, a fin de dotar al sistema de mecanismos anticíclicos, establecer límites al nivel de gasto público en términos de % del P</w:t>
      </w:r>
      <w:r w:rsidR="00A300B3" w:rsidRPr="007148A6">
        <w:rPr>
          <w:rFonts w:ascii="Arial" w:hAnsi="Arial" w:cs="Arial"/>
        </w:rPr>
        <w:t>BG</w:t>
      </w:r>
      <w:r w:rsidR="00265064" w:rsidRPr="007148A6">
        <w:rPr>
          <w:rFonts w:ascii="Arial" w:hAnsi="Arial" w:cs="Arial"/>
        </w:rPr>
        <w:t xml:space="preserve"> provincial, también al nivel de endeudamiento en relación a los recursos propios y algún tipo de norma que facilite la concurrencia de asistencia del nivel nacional ante situación de </w:t>
      </w:r>
      <w:r w:rsidR="00265064" w:rsidRPr="007148A6">
        <w:rPr>
          <w:rFonts w:ascii="Arial" w:hAnsi="Arial" w:cs="Arial"/>
          <w:i/>
        </w:rPr>
        <w:t>shocks</w:t>
      </w:r>
      <w:r w:rsidR="00265064" w:rsidRPr="007148A6">
        <w:rPr>
          <w:rFonts w:ascii="Arial" w:hAnsi="Arial" w:cs="Arial"/>
        </w:rPr>
        <w:t xml:space="preserve"> regionales. Las tres reglas, afirma, deberían regir para todos los niveles de gobierno.</w:t>
      </w:r>
      <w:r w:rsidR="005213BB" w:rsidRPr="007148A6">
        <w:rPr>
          <w:rFonts w:ascii="Arial" w:hAnsi="Arial" w:cs="Arial"/>
        </w:rPr>
        <w:t xml:space="preserve"> La administración del fondo </w:t>
      </w:r>
      <w:r w:rsidR="0092593C" w:rsidRPr="007148A6">
        <w:rPr>
          <w:rFonts w:ascii="Arial" w:hAnsi="Arial" w:cs="Arial"/>
        </w:rPr>
        <w:t>anticíclico</w:t>
      </w:r>
      <w:r w:rsidR="005213BB" w:rsidRPr="007148A6">
        <w:rPr>
          <w:rFonts w:ascii="Arial" w:hAnsi="Arial" w:cs="Arial"/>
        </w:rPr>
        <w:t xml:space="preserve"> sugiere, debería ser confiada al Banco Central de la República Argentina.</w:t>
      </w:r>
    </w:p>
    <w:p w14:paraId="1A65F082" w14:textId="37EDFB46" w:rsidR="00DB4DE8" w:rsidRPr="007148A6" w:rsidRDefault="00D06857" w:rsidP="006A5C3C">
      <w:pPr>
        <w:spacing w:before="120" w:after="120"/>
        <w:jc w:val="both"/>
        <w:rPr>
          <w:rFonts w:ascii="Arial" w:hAnsi="Arial" w:cs="Arial"/>
        </w:rPr>
      </w:pPr>
      <w:r w:rsidRPr="007148A6">
        <w:rPr>
          <w:rFonts w:ascii="Arial" w:hAnsi="Arial" w:cs="Arial"/>
        </w:rPr>
        <w:t>En cuanto al tercer pilar, la masa coparticipable, se debería tener en cuenta las competencias de</w:t>
      </w:r>
      <w:r w:rsidR="00042333" w:rsidRPr="007148A6">
        <w:rPr>
          <w:rFonts w:ascii="Arial" w:hAnsi="Arial" w:cs="Arial"/>
        </w:rPr>
        <w:t xml:space="preserve"> </w:t>
      </w:r>
      <w:r w:rsidRPr="007148A6">
        <w:rPr>
          <w:rFonts w:ascii="Arial" w:hAnsi="Arial" w:cs="Arial"/>
        </w:rPr>
        <w:t>l</w:t>
      </w:r>
      <w:r w:rsidR="00042333" w:rsidRPr="007148A6">
        <w:rPr>
          <w:rFonts w:ascii="Arial" w:hAnsi="Arial" w:cs="Arial"/>
        </w:rPr>
        <w:t>os gobiernos de</w:t>
      </w:r>
      <w:r w:rsidRPr="007148A6">
        <w:rPr>
          <w:rFonts w:ascii="Arial" w:hAnsi="Arial" w:cs="Arial"/>
        </w:rPr>
        <w:t xml:space="preserve"> nivel subnacional, la capacidad de ellos para recaudar recursos propios (según el primer pilar) y que las transferencias que resulten contemplen los dos aspectos anteriores, o sea, siguiendo los requisitos dispuestos por el inc. 2 del art 75 de la CN, agregando el autor criterios a las cuales debería</w:t>
      </w:r>
      <w:r w:rsidR="000446D7" w:rsidRPr="007148A6">
        <w:rPr>
          <w:rFonts w:ascii="Arial" w:hAnsi="Arial" w:cs="Arial"/>
        </w:rPr>
        <w:t>n</w:t>
      </w:r>
      <w:r w:rsidRPr="007148A6">
        <w:rPr>
          <w:rFonts w:ascii="Arial" w:hAnsi="Arial" w:cs="Arial"/>
        </w:rPr>
        <w:t xml:space="preserve"> ajustarse las normas que rijan el sistema de distribución.</w:t>
      </w:r>
    </w:p>
    <w:p w14:paraId="3F411089" w14:textId="239C3725" w:rsidR="005213BB" w:rsidRPr="007148A6" w:rsidRDefault="00D06857" w:rsidP="006A5C3C">
      <w:pPr>
        <w:spacing w:before="120" w:after="120"/>
        <w:jc w:val="both"/>
        <w:rPr>
          <w:rFonts w:ascii="Arial" w:hAnsi="Arial" w:cs="Arial"/>
        </w:rPr>
      </w:pPr>
      <w:r w:rsidRPr="007148A6">
        <w:rPr>
          <w:rFonts w:ascii="Arial" w:hAnsi="Arial" w:cs="Arial"/>
        </w:rPr>
        <w:lastRenderedPageBreak/>
        <w:t>Finalmente, Piffano recomienda un marco normativo al cual debería ajustarse la nueva institucionalidad del sistema</w:t>
      </w:r>
      <w:r w:rsidR="005213BB" w:rsidRPr="007148A6">
        <w:rPr>
          <w:rFonts w:ascii="Arial" w:hAnsi="Arial" w:cs="Arial"/>
        </w:rPr>
        <w:t xml:space="preserve"> </w:t>
      </w:r>
      <w:r w:rsidR="0092593C" w:rsidRPr="007148A6">
        <w:rPr>
          <w:rFonts w:ascii="Arial" w:hAnsi="Arial" w:cs="Arial"/>
        </w:rPr>
        <w:t>(</w:t>
      </w:r>
      <w:r w:rsidR="005213BB" w:rsidRPr="007148A6">
        <w:rPr>
          <w:rFonts w:ascii="Arial" w:hAnsi="Arial" w:cs="Arial"/>
        </w:rPr>
        <w:t>el cuarto pilar)</w:t>
      </w:r>
      <w:r w:rsidRPr="007148A6">
        <w:rPr>
          <w:rFonts w:ascii="Arial" w:hAnsi="Arial" w:cs="Arial"/>
        </w:rPr>
        <w:t>, abarcando la conformación del organismo fiscal federal previsto en la Constitución</w:t>
      </w:r>
      <w:r w:rsidR="005213BB" w:rsidRPr="007148A6">
        <w:rPr>
          <w:rFonts w:ascii="Arial" w:hAnsi="Arial" w:cs="Arial"/>
        </w:rPr>
        <w:t xml:space="preserve"> y sus competencias y funciones que deberían abarcar y ampliar las de la actual Comisión Federal de Impuestos, sin invadir las atribuciones de los órganos legislativos provinciales.</w:t>
      </w:r>
    </w:p>
    <w:p w14:paraId="4B0223FF" w14:textId="3AFC4695" w:rsidR="005213BB" w:rsidRPr="007148A6" w:rsidRDefault="005213BB" w:rsidP="006A5C3C">
      <w:pPr>
        <w:spacing w:before="120" w:after="120"/>
        <w:jc w:val="both"/>
        <w:rPr>
          <w:rFonts w:ascii="Arial" w:hAnsi="Arial" w:cs="Arial"/>
        </w:rPr>
      </w:pPr>
      <w:r w:rsidRPr="007148A6">
        <w:rPr>
          <w:rFonts w:ascii="Arial" w:hAnsi="Arial" w:cs="Arial"/>
        </w:rPr>
        <w:t>Además, debería regir un régimen de transición que debería ajustar la distribución sin perjudicar los niveles absolutos de recursos coparticipados percibidos por los gobiernos provinciales (por ejemplo, un ajuste del 20% anual para llegar al nuevo sistema al cabo de 5 años).</w:t>
      </w:r>
    </w:p>
    <w:p w14:paraId="7B2C882F" w14:textId="3C421723" w:rsidR="0092593C" w:rsidRPr="007148A6" w:rsidRDefault="0092593C" w:rsidP="006A5C3C">
      <w:pPr>
        <w:spacing w:before="120" w:after="120"/>
        <w:jc w:val="both"/>
        <w:rPr>
          <w:rFonts w:ascii="Arial" w:hAnsi="Arial" w:cs="Arial"/>
        </w:rPr>
      </w:pPr>
      <w:r w:rsidRPr="007148A6">
        <w:rPr>
          <w:rFonts w:ascii="Arial" w:hAnsi="Arial" w:cs="Arial"/>
        </w:rPr>
        <w:t>Termina su propuesta este autor presentando un anteproyecto de ley de “Sistema Federal de Concertación para la Coordinación y Armonización Fiscal y Financiera Interjurisdiccional” que da forma a su propuesta.</w:t>
      </w:r>
    </w:p>
    <w:p w14:paraId="4E7E7B1F" w14:textId="21BB5453" w:rsidR="0092593C" w:rsidRPr="007148A6" w:rsidRDefault="0092593C" w:rsidP="006A5C3C">
      <w:pPr>
        <w:spacing w:before="120" w:after="120"/>
        <w:jc w:val="both"/>
        <w:rPr>
          <w:rFonts w:ascii="Arial" w:hAnsi="Arial" w:cs="Arial"/>
        </w:rPr>
      </w:pPr>
      <w:r w:rsidRPr="007148A6">
        <w:rPr>
          <w:rFonts w:ascii="Arial" w:hAnsi="Arial" w:cs="Arial"/>
        </w:rPr>
        <w:t xml:space="preserve">Sin entrar a juzgar los contenidos sustantivos del anteproyecto, debe destacarse </w:t>
      </w:r>
      <w:r w:rsidR="00042333" w:rsidRPr="007148A6">
        <w:rPr>
          <w:rFonts w:ascii="Arial" w:hAnsi="Arial" w:cs="Arial"/>
        </w:rPr>
        <w:t>la</w:t>
      </w:r>
      <w:r w:rsidRPr="007148A6">
        <w:rPr>
          <w:rFonts w:ascii="Arial" w:hAnsi="Arial" w:cs="Arial"/>
        </w:rPr>
        <w:t xml:space="preserve"> coherencia y complejidad abarcativa de su propuesta y su consistencia con la norma constitucional. </w:t>
      </w:r>
    </w:p>
    <w:p w14:paraId="2A9EC18E" w14:textId="3181C3F6" w:rsidR="00955F22" w:rsidRPr="007148A6" w:rsidRDefault="00955F22" w:rsidP="00955F22">
      <w:pPr>
        <w:pStyle w:val="Prrafodelista"/>
        <w:numPr>
          <w:ilvl w:val="0"/>
          <w:numId w:val="3"/>
        </w:numPr>
        <w:spacing w:before="120" w:after="120"/>
        <w:jc w:val="both"/>
        <w:rPr>
          <w:rFonts w:ascii="Arial" w:hAnsi="Arial" w:cs="Arial"/>
          <w:b/>
          <w:bCs/>
        </w:rPr>
      </w:pPr>
      <w:r w:rsidRPr="007148A6">
        <w:rPr>
          <w:rFonts w:ascii="Arial" w:hAnsi="Arial" w:cs="Arial"/>
          <w:b/>
          <w:bCs/>
        </w:rPr>
        <w:t>La interpretación de Pérez Hualde</w:t>
      </w:r>
    </w:p>
    <w:p w14:paraId="1B8344C9" w14:textId="2C3400FF" w:rsidR="00955F22" w:rsidRPr="007148A6" w:rsidRDefault="00955F22" w:rsidP="00955F22">
      <w:pPr>
        <w:spacing w:before="120" w:after="120"/>
        <w:jc w:val="both"/>
        <w:rPr>
          <w:rFonts w:ascii="Arial" w:hAnsi="Arial" w:cs="Arial"/>
        </w:rPr>
      </w:pPr>
      <w:r w:rsidRPr="007148A6">
        <w:rPr>
          <w:rFonts w:ascii="Arial" w:hAnsi="Arial" w:cs="Arial"/>
        </w:rPr>
        <w:t>En su libro “Coparticipación Federal de Impuestos en la Constitución Nacional”, ya citado</w:t>
      </w:r>
      <w:r w:rsidR="000B4DC4" w:rsidRPr="007148A6">
        <w:rPr>
          <w:rStyle w:val="Refdenotaalpie"/>
          <w:rFonts w:ascii="Arial" w:hAnsi="Arial" w:cs="Arial"/>
        </w:rPr>
        <w:footnoteReference w:id="13"/>
      </w:r>
      <w:r w:rsidRPr="007148A6">
        <w:rPr>
          <w:rFonts w:ascii="Arial" w:hAnsi="Arial" w:cs="Arial"/>
        </w:rPr>
        <w:t xml:space="preserve">, este destacado jurista mendocino desarrolla una interpretación de los términos de la Constitución relativos a la coparticipación. Uno de los primeros temas a los que hace referencia es </w:t>
      </w:r>
      <w:r w:rsidR="000B4DC4" w:rsidRPr="007148A6">
        <w:rPr>
          <w:rFonts w:ascii="Arial" w:hAnsi="Arial" w:cs="Arial"/>
        </w:rPr>
        <w:t>q</w:t>
      </w:r>
      <w:r w:rsidRPr="007148A6">
        <w:rPr>
          <w:rFonts w:ascii="Arial" w:hAnsi="Arial" w:cs="Arial"/>
        </w:rPr>
        <w:t xml:space="preserve">ue la </w:t>
      </w:r>
      <w:r w:rsidR="000B4DC4" w:rsidRPr="007148A6">
        <w:rPr>
          <w:rFonts w:ascii="Arial" w:hAnsi="Arial" w:cs="Arial"/>
        </w:rPr>
        <w:t>Constitución</w:t>
      </w:r>
      <w:r w:rsidRPr="007148A6">
        <w:rPr>
          <w:rFonts w:ascii="Arial" w:hAnsi="Arial" w:cs="Arial"/>
        </w:rPr>
        <w:t xml:space="preserve"> estableció un sistema de separación de fuentes, la que es análogo a las posiciones del CEA y de Piffano, aunque con algunas diferencias.</w:t>
      </w:r>
    </w:p>
    <w:p w14:paraId="648B72BF" w14:textId="484BADE3" w:rsidR="00955F22" w:rsidRPr="007148A6" w:rsidRDefault="00955F22" w:rsidP="00955F22">
      <w:pPr>
        <w:jc w:val="both"/>
        <w:rPr>
          <w:rFonts w:ascii="Arial" w:hAnsi="Arial" w:cs="Arial"/>
          <w:lang w:val="es-419"/>
        </w:rPr>
      </w:pPr>
      <w:r w:rsidRPr="007148A6">
        <w:rPr>
          <w:rFonts w:ascii="Arial" w:hAnsi="Arial" w:cs="Arial"/>
          <w:lang w:val="es-419"/>
        </w:rPr>
        <w:t>Según e</w:t>
      </w:r>
      <w:r w:rsidR="000B4DC4" w:rsidRPr="007148A6">
        <w:rPr>
          <w:rFonts w:ascii="Arial" w:hAnsi="Arial" w:cs="Arial"/>
          <w:lang w:val="es-419"/>
        </w:rPr>
        <w:t>ste</w:t>
      </w:r>
      <w:r w:rsidRPr="007148A6">
        <w:rPr>
          <w:rFonts w:ascii="Arial" w:hAnsi="Arial" w:cs="Arial"/>
          <w:lang w:val="es-419"/>
        </w:rPr>
        <w:t xml:space="preserve"> autor “el nuevo art. 75, inc. 2, C.N., no sólo prevé el método de la coparticipación federal y determina la masa de impuestos que la componen; también establece los criterios de distribución, crea un órgano de control y fiscalización de la ejecución del precepto constitucional y, lo que es fundamental, ordena el dictado de una ley-convenio que establecerá los regímenes y criterios concretos de organización tributaria federal”. De esta forma presenta una postura coincidente con los autores del presente trabajo, al entender como no opcional el dictado de una ley de coparticipación que reemplace a la provisoria, todavía en uso. Según el autor, la existencia de esta ley y la de</w:t>
      </w:r>
      <w:r w:rsidR="000B4DC4" w:rsidRPr="007148A6">
        <w:rPr>
          <w:rFonts w:ascii="Arial" w:hAnsi="Arial" w:cs="Arial"/>
          <w:lang w:val="es-419"/>
        </w:rPr>
        <w:t xml:space="preserve"> </w:t>
      </w:r>
      <w:r w:rsidRPr="007148A6">
        <w:rPr>
          <w:rFonts w:ascii="Arial" w:hAnsi="Arial" w:cs="Arial"/>
          <w:lang w:val="es-419"/>
        </w:rPr>
        <w:t>l</w:t>
      </w:r>
      <w:r w:rsidR="000B4DC4" w:rsidRPr="007148A6">
        <w:rPr>
          <w:rFonts w:ascii="Arial" w:hAnsi="Arial" w:cs="Arial"/>
          <w:lang w:val="es-419"/>
        </w:rPr>
        <w:t>a</w:t>
      </w:r>
      <w:r w:rsidRPr="007148A6">
        <w:rPr>
          <w:rFonts w:ascii="Arial" w:hAnsi="Arial" w:cs="Arial"/>
          <w:lang w:val="es-419"/>
        </w:rPr>
        <w:t xml:space="preserve"> C</w:t>
      </w:r>
      <w:r w:rsidR="000B4DC4" w:rsidRPr="007148A6">
        <w:rPr>
          <w:rFonts w:ascii="Arial" w:hAnsi="Arial" w:cs="Arial"/>
          <w:lang w:val="es-419"/>
        </w:rPr>
        <w:t xml:space="preserve">omisión </w:t>
      </w:r>
      <w:r w:rsidRPr="007148A6">
        <w:rPr>
          <w:rFonts w:ascii="Arial" w:hAnsi="Arial" w:cs="Arial"/>
          <w:lang w:val="es-419"/>
        </w:rPr>
        <w:t>F</w:t>
      </w:r>
      <w:r w:rsidR="000B4DC4" w:rsidRPr="007148A6">
        <w:rPr>
          <w:rFonts w:ascii="Arial" w:hAnsi="Arial" w:cs="Arial"/>
          <w:lang w:val="es-419"/>
        </w:rPr>
        <w:t>ederal de Impuestos</w:t>
      </w:r>
      <w:r w:rsidRPr="007148A6">
        <w:rPr>
          <w:rFonts w:ascii="Arial" w:hAnsi="Arial" w:cs="Arial"/>
          <w:lang w:val="es-419"/>
        </w:rPr>
        <w:t xml:space="preserve"> “en nada subsana ni justifica la omisión institucional y el estado de incumplimiento constitucional en que nos hallamos”.</w:t>
      </w:r>
    </w:p>
    <w:p w14:paraId="54BDE493" w14:textId="7E6B00E5" w:rsidR="00955F22" w:rsidRPr="007148A6" w:rsidRDefault="009B00B1" w:rsidP="00955F22">
      <w:pPr>
        <w:jc w:val="both"/>
        <w:rPr>
          <w:rFonts w:ascii="Arial" w:hAnsi="Arial" w:cs="Arial"/>
          <w:lang w:val="es-419"/>
        </w:rPr>
      </w:pPr>
      <w:r w:rsidRPr="007148A6">
        <w:rPr>
          <w:rFonts w:ascii="Arial" w:hAnsi="Arial" w:cs="Arial"/>
          <w:lang w:val="es-419"/>
        </w:rPr>
        <w:t>Para</w:t>
      </w:r>
      <w:r w:rsidR="00955F22" w:rsidRPr="007148A6">
        <w:rPr>
          <w:rFonts w:ascii="Arial" w:hAnsi="Arial" w:cs="Arial"/>
          <w:lang w:val="es-419"/>
        </w:rPr>
        <w:t xml:space="preserve"> Pérez Hualde, en consonancia con el CEA y Piffano</w:t>
      </w:r>
      <w:r w:rsidR="000B4DC4" w:rsidRPr="007148A6">
        <w:rPr>
          <w:rFonts w:ascii="Arial" w:hAnsi="Arial" w:cs="Arial"/>
          <w:lang w:val="es-419"/>
        </w:rPr>
        <w:t>,</w:t>
      </w:r>
      <w:r w:rsidR="00955F22" w:rsidRPr="007148A6">
        <w:rPr>
          <w:rFonts w:ascii="Arial" w:hAnsi="Arial" w:cs="Arial"/>
          <w:lang w:val="es-419"/>
        </w:rPr>
        <w:t xml:space="preserve"> los impuestos al comercio exterior se encuentran fuera de la masa coparticipable, debido al art. 75, inc. 1, C.N., donde hace referencia a que los mismos “serán uniformes en toda la Nación” y a que el art. 4, C.N</w:t>
      </w:r>
      <w:r w:rsidR="00BC2D28" w:rsidRPr="007148A6">
        <w:rPr>
          <w:rFonts w:ascii="Arial" w:hAnsi="Arial" w:cs="Arial"/>
          <w:lang w:val="es-419"/>
        </w:rPr>
        <w:t>.</w:t>
      </w:r>
      <w:r w:rsidR="00955F22" w:rsidRPr="007148A6">
        <w:rPr>
          <w:rFonts w:ascii="Arial" w:hAnsi="Arial" w:cs="Arial"/>
          <w:lang w:val="es-419"/>
        </w:rPr>
        <w:t xml:space="preserve"> define que se provea “a los gastos de la Nación con los fondos del Tesoro nacional formado del producto de derechos de importación y exportación (…)” entre otros. </w:t>
      </w:r>
      <w:r w:rsidR="00BC2D28" w:rsidRPr="007148A6">
        <w:rPr>
          <w:rFonts w:ascii="Arial" w:hAnsi="Arial" w:cs="Arial"/>
          <w:lang w:val="es-419"/>
        </w:rPr>
        <w:t>L</w:t>
      </w:r>
      <w:r w:rsidR="00955F22" w:rsidRPr="007148A6">
        <w:rPr>
          <w:rFonts w:ascii="Arial" w:hAnsi="Arial" w:cs="Arial"/>
          <w:lang w:val="es-419"/>
        </w:rPr>
        <w:t>os autores del presente</w:t>
      </w:r>
      <w:r w:rsidR="000B4DC4" w:rsidRPr="007148A6">
        <w:rPr>
          <w:rFonts w:ascii="Arial" w:hAnsi="Arial" w:cs="Arial"/>
          <w:lang w:val="es-419"/>
        </w:rPr>
        <w:t xml:space="preserve"> trabajo </w:t>
      </w:r>
      <w:r w:rsidR="00BC2D28" w:rsidRPr="007148A6">
        <w:rPr>
          <w:rFonts w:ascii="Arial" w:hAnsi="Arial" w:cs="Arial"/>
          <w:lang w:val="es-419"/>
        </w:rPr>
        <w:t xml:space="preserve">sostienen que </w:t>
      </w:r>
      <w:r w:rsidR="000B4DC4" w:rsidRPr="007148A6">
        <w:rPr>
          <w:rFonts w:ascii="Arial" w:hAnsi="Arial" w:cs="Arial"/>
          <w:lang w:val="es-419"/>
        </w:rPr>
        <w:t>estas disposiciones</w:t>
      </w:r>
      <w:r w:rsidR="00BC2D28" w:rsidRPr="007148A6">
        <w:rPr>
          <w:rFonts w:ascii="Arial" w:hAnsi="Arial" w:cs="Arial"/>
          <w:lang w:val="es-419"/>
        </w:rPr>
        <w:t xml:space="preserve"> constitucionales</w:t>
      </w:r>
      <w:r w:rsidR="000B4DC4" w:rsidRPr="007148A6">
        <w:rPr>
          <w:rFonts w:ascii="Arial" w:hAnsi="Arial" w:cs="Arial"/>
          <w:lang w:val="es-419"/>
        </w:rPr>
        <w:t xml:space="preserve"> no</w:t>
      </w:r>
      <w:r w:rsidR="00955F22" w:rsidRPr="007148A6">
        <w:rPr>
          <w:rFonts w:ascii="Arial" w:hAnsi="Arial" w:cs="Arial"/>
          <w:lang w:val="es-419"/>
        </w:rPr>
        <w:t xml:space="preserve"> resulta</w:t>
      </w:r>
      <w:r w:rsidR="000B4DC4" w:rsidRPr="007148A6">
        <w:rPr>
          <w:rFonts w:ascii="Arial" w:hAnsi="Arial" w:cs="Arial"/>
          <w:lang w:val="es-419"/>
        </w:rPr>
        <w:t>n</w:t>
      </w:r>
      <w:r w:rsidR="00955F22" w:rsidRPr="007148A6">
        <w:rPr>
          <w:rFonts w:ascii="Arial" w:hAnsi="Arial" w:cs="Arial"/>
          <w:lang w:val="es-419"/>
        </w:rPr>
        <w:t xml:space="preserve"> contradictori</w:t>
      </w:r>
      <w:r w:rsidR="000B4DC4" w:rsidRPr="007148A6">
        <w:rPr>
          <w:rFonts w:ascii="Arial" w:hAnsi="Arial" w:cs="Arial"/>
          <w:lang w:val="es-419"/>
        </w:rPr>
        <w:t>as</w:t>
      </w:r>
      <w:r w:rsidR="00955F22" w:rsidRPr="007148A6">
        <w:rPr>
          <w:rFonts w:ascii="Arial" w:hAnsi="Arial" w:cs="Arial"/>
          <w:lang w:val="es-419"/>
        </w:rPr>
        <w:t xml:space="preserve"> a lo expresado por estos dos artículos</w:t>
      </w:r>
      <w:r w:rsidR="000B4DC4" w:rsidRPr="007148A6">
        <w:rPr>
          <w:rFonts w:ascii="Arial" w:hAnsi="Arial" w:cs="Arial"/>
          <w:lang w:val="es-419"/>
        </w:rPr>
        <w:t xml:space="preserve"> </w:t>
      </w:r>
      <w:r w:rsidR="00EC02C0" w:rsidRPr="007148A6">
        <w:rPr>
          <w:rFonts w:ascii="Arial" w:hAnsi="Arial" w:cs="Arial"/>
          <w:lang w:val="es-419"/>
        </w:rPr>
        <w:t>ya que,</w:t>
      </w:r>
      <w:r w:rsidR="000B4DC4" w:rsidRPr="007148A6">
        <w:rPr>
          <w:rFonts w:ascii="Arial" w:hAnsi="Arial" w:cs="Arial"/>
          <w:lang w:val="es-419"/>
        </w:rPr>
        <w:t xml:space="preserve"> si estos tributos fueran coparticipados, seguirá siendo atribución del gob</w:t>
      </w:r>
      <w:r w:rsidR="00EB1DF7" w:rsidRPr="007148A6">
        <w:rPr>
          <w:rFonts w:ascii="Arial" w:hAnsi="Arial" w:cs="Arial"/>
          <w:lang w:val="es-419"/>
        </w:rPr>
        <w:t>i</w:t>
      </w:r>
      <w:r w:rsidR="000B4DC4" w:rsidRPr="007148A6">
        <w:rPr>
          <w:rFonts w:ascii="Arial" w:hAnsi="Arial" w:cs="Arial"/>
          <w:lang w:val="es-419"/>
        </w:rPr>
        <w:t>ern</w:t>
      </w:r>
      <w:r w:rsidR="00EB1DF7" w:rsidRPr="007148A6">
        <w:rPr>
          <w:rFonts w:ascii="Arial" w:hAnsi="Arial" w:cs="Arial"/>
          <w:lang w:val="es-419"/>
        </w:rPr>
        <w:t>o central establecerlos y</w:t>
      </w:r>
      <w:r w:rsidR="00955F22" w:rsidRPr="007148A6">
        <w:rPr>
          <w:rFonts w:ascii="Arial" w:hAnsi="Arial" w:cs="Arial"/>
          <w:lang w:val="es-419"/>
        </w:rPr>
        <w:t xml:space="preserve"> seguirán siendo uniformes en toda la Nación</w:t>
      </w:r>
      <w:r w:rsidR="00EB1DF7" w:rsidRPr="007148A6">
        <w:rPr>
          <w:rFonts w:ascii="Arial" w:hAnsi="Arial" w:cs="Arial"/>
          <w:lang w:val="es-419"/>
        </w:rPr>
        <w:t xml:space="preserve"> </w:t>
      </w:r>
      <w:r w:rsidR="00955F22" w:rsidRPr="007148A6">
        <w:rPr>
          <w:rFonts w:ascii="Arial" w:hAnsi="Arial" w:cs="Arial"/>
          <w:lang w:val="es-419"/>
        </w:rPr>
        <w:t xml:space="preserve">y </w:t>
      </w:r>
      <w:r w:rsidR="00EB1DF7" w:rsidRPr="007148A6">
        <w:rPr>
          <w:rFonts w:ascii="Arial" w:hAnsi="Arial" w:cs="Arial"/>
          <w:lang w:val="es-419"/>
        </w:rPr>
        <w:t>una porción</w:t>
      </w:r>
      <w:r w:rsidR="00955F22" w:rsidRPr="007148A6">
        <w:rPr>
          <w:rFonts w:ascii="Arial" w:hAnsi="Arial" w:cs="Arial"/>
          <w:lang w:val="es-419"/>
        </w:rPr>
        <w:t xml:space="preserve"> de </w:t>
      </w:r>
      <w:r w:rsidR="00BC2D28" w:rsidRPr="007148A6">
        <w:rPr>
          <w:rFonts w:ascii="Arial" w:hAnsi="Arial" w:cs="Arial"/>
          <w:lang w:val="es-419"/>
        </w:rPr>
        <w:t>estos</w:t>
      </w:r>
      <w:r w:rsidR="00955F22" w:rsidRPr="007148A6">
        <w:rPr>
          <w:rFonts w:ascii="Arial" w:hAnsi="Arial" w:cs="Arial"/>
          <w:lang w:val="es-419"/>
        </w:rPr>
        <w:t xml:space="preserve"> seguiría</w:t>
      </w:r>
      <w:r w:rsidR="00EB1DF7" w:rsidRPr="007148A6">
        <w:rPr>
          <w:rFonts w:ascii="Arial" w:hAnsi="Arial" w:cs="Arial"/>
          <w:lang w:val="es-419"/>
        </w:rPr>
        <w:t xml:space="preserve"> siendo un recurso</w:t>
      </w:r>
      <w:r w:rsidR="00955F22" w:rsidRPr="007148A6">
        <w:rPr>
          <w:rFonts w:ascii="Arial" w:hAnsi="Arial" w:cs="Arial"/>
          <w:lang w:val="es-419"/>
        </w:rPr>
        <w:t xml:space="preserve"> del Tesoro Nacional.</w:t>
      </w:r>
    </w:p>
    <w:p w14:paraId="13F6B76B" w14:textId="77777777" w:rsidR="00955F22" w:rsidRPr="007148A6" w:rsidRDefault="00955F22" w:rsidP="00955F22">
      <w:pPr>
        <w:jc w:val="both"/>
        <w:rPr>
          <w:rFonts w:ascii="Arial" w:hAnsi="Arial" w:cs="Arial"/>
          <w:lang w:val="es-419"/>
        </w:rPr>
      </w:pPr>
      <w:r w:rsidRPr="007148A6">
        <w:rPr>
          <w:rFonts w:ascii="Arial" w:hAnsi="Arial" w:cs="Arial"/>
          <w:lang w:val="es-419"/>
        </w:rPr>
        <w:t xml:space="preserve">De hecho, Pérez Hualde enuncia que “la Constitución nacional de 1994 pone de manifiesto la presencia coincidente del sistema de separación de fuentes (impuestos directos e indirectos para las provincias, derechos de importación y exportación para la Nación) y de coparticipación (en lo </w:t>
      </w:r>
      <w:r w:rsidRPr="007148A6">
        <w:rPr>
          <w:rFonts w:ascii="Arial" w:hAnsi="Arial" w:cs="Arial"/>
          <w:lang w:val="es-419"/>
        </w:rPr>
        <w:lastRenderedPageBreak/>
        <w:t>que respecta a los impuestos de competencia concurrente como los indirectos)”, aunque menciona su disconformidad, ya que lo considera jurídicamente incorrecto, la inclusión de los impuestos directos en la masa coparticipable.</w:t>
      </w:r>
    </w:p>
    <w:p w14:paraId="7AE73971" w14:textId="694B1B27" w:rsidR="00955F22" w:rsidRPr="007148A6" w:rsidRDefault="00EB1DF7" w:rsidP="00955F22">
      <w:pPr>
        <w:jc w:val="both"/>
        <w:rPr>
          <w:rFonts w:ascii="Arial" w:hAnsi="Arial" w:cs="Arial"/>
          <w:lang w:val="es-419"/>
        </w:rPr>
      </w:pPr>
      <w:r w:rsidRPr="007148A6">
        <w:rPr>
          <w:rFonts w:ascii="Arial" w:hAnsi="Arial" w:cs="Arial"/>
          <w:lang w:val="es-419"/>
        </w:rPr>
        <w:t>Su posición es que</w:t>
      </w:r>
      <w:r w:rsidR="00955F22" w:rsidRPr="007148A6">
        <w:rPr>
          <w:rFonts w:ascii="Arial" w:hAnsi="Arial" w:cs="Arial"/>
          <w:lang w:val="es-419"/>
        </w:rPr>
        <w:t xml:space="preserve"> “los contenidos que debe contemplar la ley-convenio expresa</w:t>
      </w:r>
      <w:r w:rsidR="0016522D" w:rsidRPr="007148A6">
        <w:rPr>
          <w:rFonts w:ascii="Arial" w:hAnsi="Arial" w:cs="Arial"/>
          <w:lang w:val="es-419"/>
        </w:rPr>
        <w:t>n</w:t>
      </w:r>
      <w:r w:rsidR="00955F22" w:rsidRPr="007148A6">
        <w:rPr>
          <w:rFonts w:ascii="Arial" w:hAnsi="Arial" w:cs="Arial"/>
          <w:lang w:val="es-419"/>
        </w:rPr>
        <w:t xml:space="preserve"> e implícitamente surgen del texto del inc. 2 del art. 75, C.N., y son muy pocos: </w:t>
      </w:r>
      <w:r w:rsidRPr="007148A6">
        <w:rPr>
          <w:rFonts w:ascii="Arial" w:hAnsi="Arial" w:cs="Arial"/>
          <w:lang w:val="es-419"/>
        </w:rPr>
        <w:t>1</w:t>
      </w:r>
      <w:r w:rsidR="00955F22" w:rsidRPr="007148A6">
        <w:rPr>
          <w:rFonts w:ascii="Arial" w:hAnsi="Arial" w:cs="Arial"/>
          <w:lang w:val="es-419"/>
        </w:rPr>
        <w:t xml:space="preserve">) los regímenes específicos de coparticipación; 2) los elementos implícitos en la automaticidad de la remisión de fondos; 3) los mecanismos concretos de distribución entre las partes; 4) la determinación de quien recauda la masa coparticipable; y 5) la integración del organismo fiscal federal”. </w:t>
      </w:r>
      <w:r w:rsidRPr="007148A6">
        <w:rPr>
          <w:rFonts w:ascii="Arial" w:hAnsi="Arial" w:cs="Arial"/>
          <w:lang w:val="es-419"/>
        </w:rPr>
        <w:t>De acuerdo con</w:t>
      </w:r>
      <w:r w:rsidR="00955F22" w:rsidRPr="007148A6">
        <w:rPr>
          <w:rFonts w:ascii="Arial" w:hAnsi="Arial" w:cs="Arial"/>
          <w:lang w:val="es-419"/>
        </w:rPr>
        <w:t xml:space="preserve"> lo expresado anteriormente, se resalta nuevamente lo completa y abarcativa que resulta la propuesta de Piffano.</w:t>
      </w:r>
    </w:p>
    <w:p w14:paraId="13939F63" w14:textId="2A5DF042" w:rsidR="00955F22" w:rsidRPr="007148A6" w:rsidRDefault="00EB1DF7" w:rsidP="00955F22">
      <w:pPr>
        <w:jc w:val="both"/>
        <w:rPr>
          <w:rFonts w:ascii="Arial" w:hAnsi="Arial" w:cs="Arial"/>
          <w:lang w:val="es-419"/>
        </w:rPr>
      </w:pPr>
      <w:r w:rsidRPr="007148A6">
        <w:rPr>
          <w:rFonts w:ascii="Arial" w:hAnsi="Arial" w:cs="Arial"/>
          <w:lang w:val="es-419"/>
        </w:rPr>
        <w:t>Para</w:t>
      </w:r>
      <w:r w:rsidR="00955F22" w:rsidRPr="007148A6">
        <w:rPr>
          <w:rFonts w:ascii="Arial" w:hAnsi="Arial" w:cs="Arial"/>
          <w:lang w:val="es-419"/>
        </w:rPr>
        <w:t xml:space="preserve"> Pérez Hualde “la Constitución prevé el dictado de una sola ley-convenio en cuyo marco se podrían establecer uno o más métodos de coparticipación; es por ello, precisamente, que sostenemos que la ley-convenio excede en mucho a una mera “ley de coparticipación””. De </w:t>
      </w:r>
      <w:r w:rsidRPr="007148A6">
        <w:rPr>
          <w:rFonts w:ascii="Arial" w:hAnsi="Arial" w:cs="Arial"/>
          <w:lang w:val="es-419"/>
        </w:rPr>
        <w:t>hecho,</w:t>
      </w:r>
      <w:r w:rsidR="00955F22" w:rsidRPr="007148A6">
        <w:rPr>
          <w:rFonts w:ascii="Arial" w:hAnsi="Arial" w:cs="Arial"/>
          <w:lang w:val="es-419"/>
        </w:rPr>
        <w:t xml:space="preserve"> </w:t>
      </w:r>
      <w:r w:rsidR="00FE4873" w:rsidRPr="007148A6">
        <w:rPr>
          <w:rFonts w:ascii="Arial" w:hAnsi="Arial" w:cs="Arial"/>
          <w:lang w:val="es-419"/>
        </w:rPr>
        <w:t>expresa que</w:t>
      </w:r>
      <w:r w:rsidR="00955F22" w:rsidRPr="007148A6">
        <w:rPr>
          <w:rFonts w:ascii="Arial" w:hAnsi="Arial" w:cs="Arial"/>
          <w:lang w:val="es-419"/>
        </w:rPr>
        <w:t xml:space="preserve"> para él “la norma no debe contener los índices o porcentajes, sino las pautas para determinarlos y los mecanismos para discutirlos y revisarlos”. Enuncia también que “la Constitución no prevé la determinación de porcentajes; es más, incluirlos traiciona el texto constitucional porque destruye el carácter esencialmente dinámico que implican los criterios seleccionados por la norma del 3° párr. del inc. 2 del art. 75, C.N. Deben estar precisados los criterios para arribar en cada caso al porcentaje correspondiente, pero no pretender estratificar un porcentaje coyuntural”.</w:t>
      </w:r>
    </w:p>
    <w:p w14:paraId="21564BD8" w14:textId="77777777" w:rsidR="00955F22" w:rsidRPr="007148A6" w:rsidRDefault="00955F22" w:rsidP="00955F22">
      <w:pPr>
        <w:jc w:val="both"/>
        <w:rPr>
          <w:rFonts w:ascii="Arial" w:hAnsi="Arial" w:cs="Arial"/>
        </w:rPr>
      </w:pPr>
      <w:r w:rsidRPr="007148A6">
        <w:rPr>
          <w:rFonts w:ascii="Arial" w:hAnsi="Arial" w:cs="Arial"/>
        </w:rPr>
        <w:t>En cuanto a los principios y criterios de distribución, así como Piffano, considera que debe existir una relación directa con las competencias, servicios y funciones que cada una de las jurisdicciones realiza, como así también al criterio de equidad y solidaridad ya que “la posibilidad de servicios diferenciados hace a la esencia del Estado federal”, y en este sentido la inclusión de factores de ponderación de la eficiencia, con lo que acuerdan plenamente los autores del presente trabajo.</w:t>
      </w:r>
    </w:p>
    <w:p w14:paraId="06A85DC3" w14:textId="58601ECF" w:rsidR="00955F22" w:rsidRPr="007148A6" w:rsidRDefault="00955F22" w:rsidP="00955F22">
      <w:pPr>
        <w:jc w:val="both"/>
        <w:rPr>
          <w:rFonts w:ascii="Arial" w:hAnsi="Arial" w:cs="Arial"/>
        </w:rPr>
      </w:pPr>
      <w:r w:rsidRPr="007148A6">
        <w:rPr>
          <w:rFonts w:ascii="Arial" w:hAnsi="Arial" w:cs="Arial"/>
        </w:rPr>
        <w:t>El autor resalta la importancia de una observación realizada por la provincia de Mendoza, “en el sentido de incluir necesariamente en consideración como indicadores, para una distribución solidaria, la existencia real en cada lugar de: la incidencia de la distribución geográfica del gasto público; de aportes del Tesoro de la Nación; de programas especiales de los distintos organismos nacionales, de regímenes de promoción industrial y no industrial (…); y de otros regímenes especiales de distribución de recursos”. Esta observación coincide plenamente con la postura de los autores</w:t>
      </w:r>
      <w:r w:rsidR="00EB1DF7" w:rsidRPr="007148A6">
        <w:rPr>
          <w:rFonts w:ascii="Arial" w:hAnsi="Arial" w:cs="Arial"/>
        </w:rPr>
        <w:t xml:space="preserve"> del presente trabajo</w:t>
      </w:r>
      <w:r w:rsidRPr="007148A6">
        <w:rPr>
          <w:rFonts w:ascii="Arial" w:hAnsi="Arial" w:cs="Arial"/>
        </w:rPr>
        <w:t xml:space="preserve"> y con la inclusión de la inversa de la distribución del gasto público nacional como uno de los indicadores para realizar la coparticipación secundaria.</w:t>
      </w:r>
    </w:p>
    <w:p w14:paraId="2E38DFEC" w14:textId="76005D68" w:rsidR="00F17026" w:rsidRPr="007148A6" w:rsidRDefault="00F17026" w:rsidP="00F17026">
      <w:pPr>
        <w:pStyle w:val="Prrafodelista"/>
        <w:numPr>
          <w:ilvl w:val="0"/>
          <w:numId w:val="1"/>
        </w:numPr>
        <w:spacing w:before="120" w:after="120"/>
        <w:jc w:val="both"/>
        <w:rPr>
          <w:rFonts w:ascii="Arial" w:hAnsi="Arial" w:cs="Arial"/>
          <w:b/>
          <w:bCs/>
        </w:rPr>
      </w:pPr>
      <w:r w:rsidRPr="007148A6">
        <w:rPr>
          <w:rFonts w:ascii="Arial" w:hAnsi="Arial" w:cs="Arial"/>
          <w:b/>
          <w:bCs/>
        </w:rPr>
        <w:t>Crítica a las propuestas citadas</w:t>
      </w:r>
    </w:p>
    <w:p w14:paraId="070C4E21" w14:textId="5A26B2AA" w:rsidR="00F17026" w:rsidRPr="007148A6" w:rsidRDefault="00EA7C45" w:rsidP="00F17026">
      <w:pPr>
        <w:spacing w:before="120" w:after="120"/>
        <w:jc w:val="both"/>
        <w:rPr>
          <w:rFonts w:ascii="Arial" w:hAnsi="Arial" w:cs="Arial"/>
        </w:rPr>
      </w:pPr>
      <w:r w:rsidRPr="007148A6">
        <w:rPr>
          <w:rFonts w:ascii="Arial" w:hAnsi="Arial" w:cs="Arial"/>
        </w:rPr>
        <w:t xml:space="preserve">En primer lugar, es pertinente ratificar </w:t>
      </w:r>
      <w:r w:rsidR="002656B6" w:rsidRPr="007148A6">
        <w:rPr>
          <w:rFonts w:ascii="Arial" w:hAnsi="Arial" w:cs="Arial"/>
        </w:rPr>
        <w:t>que</w:t>
      </w:r>
      <w:r w:rsidRPr="007148A6">
        <w:rPr>
          <w:rFonts w:ascii="Arial" w:hAnsi="Arial" w:cs="Arial"/>
        </w:rPr>
        <w:t xml:space="preserve"> los autores del presente</w:t>
      </w:r>
      <w:r w:rsidR="002656B6" w:rsidRPr="007148A6">
        <w:rPr>
          <w:rFonts w:ascii="Arial" w:hAnsi="Arial" w:cs="Arial"/>
        </w:rPr>
        <w:t xml:space="preserve"> trabajo no comparten la opinión de</w:t>
      </w:r>
      <w:r w:rsidR="00925C0E" w:rsidRPr="007148A6">
        <w:rPr>
          <w:rFonts w:ascii="Arial" w:hAnsi="Arial" w:cs="Arial"/>
        </w:rPr>
        <w:t xml:space="preserve"> que el dictado de una nueva ley de coparticipación</w:t>
      </w:r>
      <w:r w:rsidR="006A0B3D" w:rsidRPr="007148A6">
        <w:rPr>
          <w:rFonts w:ascii="Arial" w:hAnsi="Arial" w:cs="Arial"/>
        </w:rPr>
        <w:t xml:space="preserve"> federal de impuestos </w:t>
      </w:r>
      <w:r w:rsidR="002656B6" w:rsidRPr="007148A6">
        <w:rPr>
          <w:rFonts w:ascii="Arial" w:hAnsi="Arial" w:cs="Arial"/>
        </w:rPr>
        <w:t xml:space="preserve">no </w:t>
      </w:r>
      <w:r w:rsidR="006A0B3D" w:rsidRPr="007148A6">
        <w:rPr>
          <w:rFonts w:ascii="Arial" w:hAnsi="Arial" w:cs="Arial"/>
        </w:rPr>
        <w:t>es un mandato constitucional que requiere de</w:t>
      </w:r>
      <w:r w:rsidR="00447C32" w:rsidRPr="007148A6">
        <w:rPr>
          <w:rFonts w:ascii="Arial" w:hAnsi="Arial" w:cs="Arial"/>
        </w:rPr>
        <w:t xml:space="preserve"> la sanción del Congreso Nacional y su ratificación por parte de las legislaturas provinciales</w:t>
      </w:r>
      <w:r w:rsidR="002C5839" w:rsidRPr="007148A6">
        <w:rPr>
          <w:rFonts w:ascii="Arial" w:hAnsi="Arial" w:cs="Arial"/>
        </w:rPr>
        <w:t>, aunque cabría la posibilidad que</w:t>
      </w:r>
      <w:r w:rsidR="00B576B0" w:rsidRPr="007148A6">
        <w:rPr>
          <w:rFonts w:ascii="Arial" w:hAnsi="Arial" w:cs="Arial"/>
        </w:rPr>
        <w:t xml:space="preserve"> no todas las provincias participen de este acuerdo. </w:t>
      </w:r>
      <w:r w:rsidR="00C356EA" w:rsidRPr="007148A6">
        <w:rPr>
          <w:rFonts w:ascii="Arial" w:hAnsi="Arial" w:cs="Arial"/>
        </w:rPr>
        <w:t>Sin embargo, es poco probable que tal situación se dé</w:t>
      </w:r>
      <w:r w:rsidR="002656B6" w:rsidRPr="007148A6">
        <w:rPr>
          <w:rFonts w:ascii="Arial" w:hAnsi="Arial" w:cs="Arial"/>
        </w:rPr>
        <w:t xml:space="preserve"> ya que, h</w:t>
      </w:r>
      <w:r w:rsidR="00C356EA" w:rsidRPr="007148A6">
        <w:rPr>
          <w:rFonts w:ascii="Arial" w:hAnsi="Arial" w:cs="Arial"/>
        </w:rPr>
        <w:t>asta el presente</w:t>
      </w:r>
      <w:r w:rsidR="004957A0" w:rsidRPr="007148A6">
        <w:rPr>
          <w:rFonts w:ascii="Arial" w:hAnsi="Arial" w:cs="Arial"/>
        </w:rPr>
        <w:t xml:space="preserve">, en todos los casos anteriores la </w:t>
      </w:r>
      <w:r w:rsidR="00EB61CD" w:rsidRPr="007148A6">
        <w:rPr>
          <w:rFonts w:ascii="Arial" w:hAnsi="Arial" w:cs="Arial"/>
        </w:rPr>
        <w:t>ley de coparticipación</w:t>
      </w:r>
      <w:r w:rsidR="004957A0" w:rsidRPr="007148A6">
        <w:rPr>
          <w:rFonts w:ascii="Arial" w:hAnsi="Arial" w:cs="Arial"/>
        </w:rPr>
        <w:t xml:space="preserve"> fed</w:t>
      </w:r>
      <w:r w:rsidR="00EB61CD" w:rsidRPr="007148A6">
        <w:rPr>
          <w:rFonts w:ascii="Arial" w:hAnsi="Arial" w:cs="Arial"/>
        </w:rPr>
        <w:t>e</w:t>
      </w:r>
      <w:r w:rsidR="004957A0" w:rsidRPr="007148A6">
        <w:rPr>
          <w:rFonts w:ascii="Arial" w:hAnsi="Arial" w:cs="Arial"/>
        </w:rPr>
        <w:t xml:space="preserve">ral </w:t>
      </w:r>
      <w:r w:rsidR="00535234" w:rsidRPr="007148A6">
        <w:rPr>
          <w:rFonts w:ascii="Arial" w:hAnsi="Arial" w:cs="Arial"/>
        </w:rPr>
        <w:t xml:space="preserve">ha sido </w:t>
      </w:r>
      <w:r w:rsidR="00474288" w:rsidRPr="007148A6">
        <w:rPr>
          <w:rFonts w:ascii="Arial" w:hAnsi="Arial" w:cs="Arial"/>
        </w:rPr>
        <w:t>fruto de acuerdo</w:t>
      </w:r>
      <w:r w:rsidR="00EB61CD" w:rsidRPr="007148A6">
        <w:rPr>
          <w:rFonts w:ascii="Arial" w:hAnsi="Arial" w:cs="Arial"/>
        </w:rPr>
        <w:t>s</w:t>
      </w:r>
      <w:r w:rsidR="00474288" w:rsidRPr="007148A6">
        <w:rPr>
          <w:rFonts w:ascii="Arial" w:hAnsi="Arial" w:cs="Arial"/>
        </w:rPr>
        <w:t xml:space="preserve"> </w:t>
      </w:r>
      <w:r w:rsidR="00FE5F36" w:rsidRPr="007148A6">
        <w:rPr>
          <w:rFonts w:ascii="Arial" w:hAnsi="Arial" w:cs="Arial"/>
        </w:rPr>
        <w:t>de los dos niveles de gobierno</w:t>
      </w:r>
      <w:r w:rsidR="000446D7" w:rsidRPr="007148A6">
        <w:rPr>
          <w:rFonts w:ascii="Arial" w:hAnsi="Arial" w:cs="Arial"/>
        </w:rPr>
        <w:t>,</w:t>
      </w:r>
      <w:r w:rsidR="00EB61CD" w:rsidRPr="007148A6">
        <w:rPr>
          <w:rFonts w:ascii="Arial" w:hAnsi="Arial" w:cs="Arial"/>
        </w:rPr>
        <w:t xml:space="preserve"> previos o posteriores a su dictado.</w:t>
      </w:r>
      <w:r w:rsidR="00B576B0" w:rsidRPr="007148A6">
        <w:rPr>
          <w:rFonts w:ascii="Arial" w:hAnsi="Arial" w:cs="Arial"/>
        </w:rPr>
        <w:t xml:space="preserve"> </w:t>
      </w:r>
    </w:p>
    <w:p w14:paraId="13C2C82C" w14:textId="12DFE8E6" w:rsidR="00EB61CD" w:rsidRPr="007148A6" w:rsidRDefault="00EB61CD" w:rsidP="00F17026">
      <w:pPr>
        <w:spacing w:before="120" w:after="120"/>
        <w:jc w:val="both"/>
        <w:rPr>
          <w:rFonts w:ascii="Arial" w:hAnsi="Arial" w:cs="Arial"/>
        </w:rPr>
      </w:pPr>
      <w:r w:rsidRPr="007148A6">
        <w:rPr>
          <w:rFonts w:ascii="Arial" w:hAnsi="Arial" w:cs="Arial"/>
        </w:rPr>
        <w:lastRenderedPageBreak/>
        <w:t xml:space="preserve">En segundo lugar, </w:t>
      </w:r>
      <w:r w:rsidR="00590637" w:rsidRPr="007148A6">
        <w:rPr>
          <w:rFonts w:ascii="Arial" w:hAnsi="Arial" w:cs="Arial"/>
        </w:rPr>
        <w:t xml:space="preserve">estos autores sostienen la conveniencia </w:t>
      </w:r>
      <w:r w:rsidR="00686BC3" w:rsidRPr="007148A6">
        <w:rPr>
          <w:rFonts w:ascii="Arial" w:hAnsi="Arial" w:cs="Arial"/>
        </w:rPr>
        <w:t xml:space="preserve">de la inclusión de </w:t>
      </w:r>
      <w:r w:rsidR="006367CF" w:rsidRPr="007148A6">
        <w:rPr>
          <w:rFonts w:ascii="Arial" w:hAnsi="Arial" w:cs="Arial"/>
        </w:rPr>
        <w:t>los aranceles al comercio exterior e</w:t>
      </w:r>
      <w:r w:rsidR="00C91ED2" w:rsidRPr="007148A6">
        <w:rPr>
          <w:rFonts w:ascii="Arial" w:hAnsi="Arial" w:cs="Arial"/>
        </w:rPr>
        <w:t>n</w:t>
      </w:r>
      <w:r w:rsidR="006367CF" w:rsidRPr="007148A6">
        <w:rPr>
          <w:rFonts w:ascii="Arial" w:hAnsi="Arial" w:cs="Arial"/>
        </w:rPr>
        <w:t xml:space="preserve"> el régimen de </w:t>
      </w:r>
      <w:r w:rsidR="00533C96" w:rsidRPr="007148A6">
        <w:rPr>
          <w:rFonts w:ascii="Arial" w:hAnsi="Arial" w:cs="Arial"/>
        </w:rPr>
        <w:t xml:space="preserve">reparto, no advirtiendo argumentos razonables ni </w:t>
      </w:r>
      <w:r w:rsidR="003B1193" w:rsidRPr="007148A6">
        <w:rPr>
          <w:rFonts w:ascii="Arial" w:hAnsi="Arial" w:cs="Arial"/>
        </w:rPr>
        <w:t>institucionales para que deban ser excluidos.</w:t>
      </w:r>
      <w:r w:rsidR="00E22F06" w:rsidRPr="007148A6">
        <w:rPr>
          <w:rFonts w:ascii="Arial" w:hAnsi="Arial" w:cs="Arial"/>
        </w:rPr>
        <w:t xml:space="preserve"> E</w:t>
      </w:r>
      <w:r w:rsidR="00C9518D" w:rsidRPr="007148A6">
        <w:rPr>
          <w:rFonts w:ascii="Arial" w:hAnsi="Arial" w:cs="Arial"/>
        </w:rPr>
        <w:t>s</w:t>
      </w:r>
      <w:r w:rsidR="00E22F06" w:rsidRPr="007148A6">
        <w:rPr>
          <w:rFonts w:ascii="Arial" w:hAnsi="Arial" w:cs="Arial"/>
        </w:rPr>
        <w:t xml:space="preserve"> parte de la propuesta que aquí se sostiene que, en general, todos los tributos </w:t>
      </w:r>
      <w:r w:rsidR="00A47315" w:rsidRPr="007148A6">
        <w:rPr>
          <w:rFonts w:ascii="Arial" w:hAnsi="Arial" w:cs="Arial"/>
        </w:rPr>
        <w:t>nacionales debe</w:t>
      </w:r>
      <w:r w:rsidR="00C9518D" w:rsidRPr="007148A6">
        <w:rPr>
          <w:rFonts w:ascii="Arial" w:hAnsi="Arial" w:cs="Arial"/>
        </w:rPr>
        <w:t>n</w:t>
      </w:r>
      <w:r w:rsidR="00A47315" w:rsidRPr="007148A6">
        <w:rPr>
          <w:rFonts w:ascii="Arial" w:hAnsi="Arial" w:cs="Arial"/>
        </w:rPr>
        <w:t xml:space="preserve"> estar comprendidos en e</w:t>
      </w:r>
      <w:r w:rsidR="003B7461" w:rsidRPr="007148A6">
        <w:rPr>
          <w:rFonts w:ascii="Arial" w:hAnsi="Arial" w:cs="Arial"/>
        </w:rPr>
        <w:t xml:space="preserve">l sistema, </w:t>
      </w:r>
      <w:r w:rsidR="00975EC1" w:rsidRPr="007148A6">
        <w:rPr>
          <w:rFonts w:ascii="Arial" w:hAnsi="Arial" w:cs="Arial"/>
        </w:rPr>
        <w:t xml:space="preserve">ya que así se evita </w:t>
      </w:r>
      <w:r w:rsidR="008E6053" w:rsidRPr="007148A6">
        <w:rPr>
          <w:rFonts w:ascii="Arial" w:hAnsi="Arial" w:cs="Arial"/>
        </w:rPr>
        <w:t xml:space="preserve">que el nivel de gobierno con más potestades </w:t>
      </w:r>
      <w:r w:rsidR="00501EF9" w:rsidRPr="007148A6">
        <w:rPr>
          <w:rFonts w:ascii="Arial" w:hAnsi="Arial" w:cs="Arial"/>
        </w:rPr>
        <w:t>tributarias</w:t>
      </w:r>
      <w:r w:rsidR="008E6053" w:rsidRPr="007148A6">
        <w:rPr>
          <w:rFonts w:ascii="Arial" w:hAnsi="Arial" w:cs="Arial"/>
        </w:rPr>
        <w:t xml:space="preserve"> </w:t>
      </w:r>
      <w:r w:rsidR="00CF6C0B" w:rsidRPr="007148A6">
        <w:rPr>
          <w:rFonts w:ascii="Arial" w:hAnsi="Arial" w:cs="Arial"/>
        </w:rPr>
        <w:t>tenga preferencia por los</w:t>
      </w:r>
      <w:r w:rsidR="003C28A1" w:rsidRPr="007148A6">
        <w:rPr>
          <w:rFonts w:ascii="Arial" w:hAnsi="Arial" w:cs="Arial"/>
        </w:rPr>
        <w:t xml:space="preserve"> recursos no distribuibles y </w:t>
      </w:r>
      <w:r w:rsidR="008E6053" w:rsidRPr="007148A6">
        <w:rPr>
          <w:rFonts w:ascii="Arial" w:hAnsi="Arial" w:cs="Arial"/>
        </w:rPr>
        <w:t xml:space="preserve">no tenga en cuenta </w:t>
      </w:r>
      <w:r w:rsidR="002B0A47" w:rsidRPr="007148A6">
        <w:rPr>
          <w:rFonts w:ascii="Arial" w:hAnsi="Arial" w:cs="Arial"/>
        </w:rPr>
        <w:t>las necesidades de recursos de los niveles inferiores.</w:t>
      </w:r>
      <w:r w:rsidR="00BB7343" w:rsidRPr="007148A6">
        <w:rPr>
          <w:rStyle w:val="Refdenotaalpie"/>
          <w:rFonts w:ascii="Arial" w:hAnsi="Arial" w:cs="Arial"/>
        </w:rPr>
        <w:footnoteReference w:id="14"/>
      </w:r>
    </w:p>
    <w:p w14:paraId="7162AD60" w14:textId="26915651" w:rsidR="00C9374C" w:rsidRPr="007148A6" w:rsidRDefault="00C9374C" w:rsidP="00F17026">
      <w:pPr>
        <w:spacing w:before="120" w:after="120"/>
        <w:jc w:val="both"/>
        <w:rPr>
          <w:rFonts w:ascii="Arial" w:hAnsi="Arial" w:cs="Arial"/>
        </w:rPr>
      </w:pPr>
      <w:r w:rsidRPr="007148A6">
        <w:rPr>
          <w:rFonts w:ascii="Arial" w:hAnsi="Arial" w:cs="Arial"/>
        </w:rPr>
        <w:t>T</w:t>
      </w:r>
      <w:r w:rsidR="00A56F74" w:rsidRPr="007148A6">
        <w:rPr>
          <w:rFonts w:ascii="Arial" w:hAnsi="Arial" w:cs="Arial"/>
        </w:rPr>
        <w:t xml:space="preserve">ercero, </w:t>
      </w:r>
      <w:r w:rsidR="00571F80" w:rsidRPr="007148A6">
        <w:rPr>
          <w:rFonts w:ascii="Arial" w:hAnsi="Arial" w:cs="Arial"/>
        </w:rPr>
        <w:t xml:space="preserve">el criterio de separación de fuentes tiene fundamentos </w:t>
      </w:r>
      <w:r w:rsidR="006F7489" w:rsidRPr="007148A6">
        <w:rPr>
          <w:rFonts w:ascii="Arial" w:hAnsi="Arial" w:cs="Arial"/>
        </w:rPr>
        <w:t>sólidos en la literatura</w:t>
      </w:r>
      <w:r w:rsidR="00D974A7" w:rsidRPr="007148A6">
        <w:rPr>
          <w:rFonts w:ascii="Arial" w:hAnsi="Arial" w:cs="Arial"/>
        </w:rPr>
        <w:t xml:space="preserve"> y pue</w:t>
      </w:r>
      <w:r w:rsidR="005F5DC7" w:rsidRPr="007148A6">
        <w:rPr>
          <w:rFonts w:ascii="Arial" w:hAnsi="Arial" w:cs="Arial"/>
        </w:rPr>
        <w:t xml:space="preserve">de ser sostenido </w:t>
      </w:r>
      <w:r w:rsidR="000E638E" w:rsidRPr="007148A6">
        <w:rPr>
          <w:rFonts w:ascii="Arial" w:hAnsi="Arial" w:cs="Arial"/>
        </w:rPr>
        <w:t>razonablemente</w:t>
      </w:r>
      <w:r w:rsidR="00893AB6" w:rsidRPr="007148A6">
        <w:rPr>
          <w:rFonts w:ascii="Arial" w:hAnsi="Arial" w:cs="Arial"/>
        </w:rPr>
        <w:t xml:space="preserve"> en teoría. No obstante, la realidad econó</w:t>
      </w:r>
      <w:r w:rsidR="002B5ED4" w:rsidRPr="007148A6">
        <w:rPr>
          <w:rFonts w:ascii="Arial" w:hAnsi="Arial" w:cs="Arial"/>
        </w:rPr>
        <w:t>mica e institucional del fed</w:t>
      </w:r>
      <w:r w:rsidR="00263BD1" w:rsidRPr="007148A6">
        <w:rPr>
          <w:rFonts w:ascii="Arial" w:hAnsi="Arial" w:cs="Arial"/>
        </w:rPr>
        <w:t>e</w:t>
      </w:r>
      <w:r w:rsidR="002B5ED4" w:rsidRPr="007148A6">
        <w:rPr>
          <w:rFonts w:ascii="Arial" w:hAnsi="Arial" w:cs="Arial"/>
        </w:rPr>
        <w:t xml:space="preserve">ralismo </w:t>
      </w:r>
      <w:r w:rsidR="002156E6" w:rsidRPr="007148A6">
        <w:rPr>
          <w:rFonts w:ascii="Arial" w:hAnsi="Arial" w:cs="Arial"/>
        </w:rPr>
        <w:t xml:space="preserve">argentino </w:t>
      </w:r>
      <w:r w:rsidR="002656B6" w:rsidRPr="007148A6">
        <w:rPr>
          <w:rFonts w:ascii="Arial" w:hAnsi="Arial" w:cs="Arial"/>
        </w:rPr>
        <w:t xml:space="preserve">no </w:t>
      </w:r>
      <w:r w:rsidR="00200E52" w:rsidRPr="007148A6">
        <w:rPr>
          <w:rFonts w:ascii="Arial" w:hAnsi="Arial" w:cs="Arial"/>
        </w:rPr>
        <w:t>lo hace aceptable en la medida que lo pro</w:t>
      </w:r>
      <w:r w:rsidR="009824D2" w:rsidRPr="007148A6">
        <w:rPr>
          <w:rFonts w:ascii="Arial" w:hAnsi="Arial" w:cs="Arial"/>
        </w:rPr>
        <w:t>ponen los dos casos analizados.</w:t>
      </w:r>
      <w:r w:rsidR="00B87859" w:rsidRPr="007148A6">
        <w:rPr>
          <w:rFonts w:ascii="Arial" w:hAnsi="Arial" w:cs="Arial"/>
        </w:rPr>
        <w:t xml:space="preserve"> ¿</w:t>
      </w:r>
      <w:r w:rsidR="00183111" w:rsidRPr="007148A6">
        <w:rPr>
          <w:rFonts w:ascii="Arial" w:hAnsi="Arial" w:cs="Arial"/>
        </w:rPr>
        <w:t xml:space="preserve">Cuántas provincias podrían estar en condiciones de </w:t>
      </w:r>
      <w:r w:rsidR="00D41FFF" w:rsidRPr="007148A6">
        <w:rPr>
          <w:rFonts w:ascii="Arial" w:hAnsi="Arial" w:cs="Arial"/>
        </w:rPr>
        <w:t>administrar un impuesto a las ganancias provincial</w:t>
      </w:r>
      <w:r w:rsidR="00EC373C" w:rsidRPr="007148A6">
        <w:rPr>
          <w:rFonts w:ascii="Arial" w:hAnsi="Arial" w:cs="Arial"/>
        </w:rPr>
        <w:t xml:space="preserve"> o un IVA subnacional</w:t>
      </w:r>
      <w:r w:rsidR="003B7303" w:rsidRPr="007148A6">
        <w:rPr>
          <w:rFonts w:ascii="Arial" w:hAnsi="Arial" w:cs="Arial"/>
        </w:rPr>
        <w:t>?</w:t>
      </w:r>
      <w:r w:rsidR="00826B18" w:rsidRPr="007148A6">
        <w:rPr>
          <w:rFonts w:ascii="Arial" w:hAnsi="Arial" w:cs="Arial"/>
        </w:rPr>
        <w:t xml:space="preserve"> Los mismos autores </w:t>
      </w:r>
      <w:r w:rsidR="0054374A" w:rsidRPr="007148A6">
        <w:rPr>
          <w:rFonts w:ascii="Arial" w:hAnsi="Arial" w:cs="Arial"/>
        </w:rPr>
        <w:t>citados reconocen esta realidad</w:t>
      </w:r>
      <w:r w:rsidR="00B05DDE" w:rsidRPr="007148A6">
        <w:rPr>
          <w:rFonts w:ascii="Arial" w:hAnsi="Arial" w:cs="Arial"/>
        </w:rPr>
        <w:t xml:space="preserve"> y </w:t>
      </w:r>
      <w:r w:rsidR="002656B6" w:rsidRPr="007148A6">
        <w:rPr>
          <w:rFonts w:ascii="Arial" w:hAnsi="Arial" w:cs="Arial"/>
        </w:rPr>
        <w:t xml:space="preserve">así </w:t>
      </w:r>
      <w:r w:rsidR="00B05DDE" w:rsidRPr="007148A6">
        <w:rPr>
          <w:rFonts w:ascii="Arial" w:hAnsi="Arial" w:cs="Arial"/>
        </w:rPr>
        <w:t>lo afirman</w:t>
      </w:r>
      <w:r w:rsidR="00E2535C" w:rsidRPr="007148A6">
        <w:rPr>
          <w:rFonts w:ascii="Arial" w:hAnsi="Arial" w:cs="Arial"/>
        </w:rPr>
        <w:t>.</w:t>
      </w:r>
      <w:r w:rsidR="00B05DDE" w:rsidRPr="007148A6">
        <w:rPr>
          <w:rFonts w:ascii="Arial" w:hAnsi="Arial" w:cs="Arial"/>
        </w:rPr>
        <w:t xml:space="preserve"> </w:t>
      </w:r>
      <w:r w:rsidR="007765A2" w:rsidRPr="007148A6">
        <w:rPr>
          <w:rFonts w:ascii="Arial" w:hAnsi="Arial" w:cs="Arial"/>
        </w:rPr>
        <w:t xml:space="preserve">Hay provincias que </w:t>
      </w:r>
      <w:r w:rsidR="00E2535C" w:rsidRPr="007148A6">
        <w:rPr>
          <w:rFonts w:ascii="Arial" w:hAnsi="Arial" w:cs="Arial"/>
        </w:rPr>
        <w:t>no</w:t>
      </w:r>
      <w:r w:rsidR="0071126E" w:rsidRPr="007148A6">
        <w:rPr>
          <w:rFonts w:ascii="Arial" w:hAnsi="Arial" w:cs="Arial"/>
        </w:rPr>
        <w:t xml:space="preserve"> muestran capacidad de administrar otros impuestos </w:t>
      </w:r>
      <w:r w:rsidR="00712694" w:rsidRPr="007148A6">
        <w:rPr>
          <w:rFonts w:ascii="Arial" w:hAnsi="Arial" w:cs="Arial"/>
        </w:rPr>
        <w:t xml:space="preserve">que corresponden a ese nivel de gobierno, como el que grava los ingresos brutos y </w:t>
      </w:r>
      <w:r w:rsidR="00044D87" w:rsidRPr="007148A6">
        <w:rPr>
          <w:rFonts w:ascii="Arial" w:hAnsi="Arial" w:cs="Arial"/>
        </w:rPr>
        <w:t>la propiedad inmobiliaria.</w:t>
      </w:r>
      <w:r w:rsidR="00044D87" w:rsidRPr="007148A6">
        <w:rPr>
          <w:rStyle w:val="Refdenotaalpie"/>
          <w:rFonts w:ascii="Arial" w:hAnsi="Arial" w:cs="Arial"/>
        </w:rPr>
        <w:footnoteReference w:id="15"/>
      </w:r>
    </w:p>
    <w:p w14:paraId="2E3F87DE" w14:textId="5BB8A1CE" w:rsidR="00B654B6" w:rsidRPr="007148A6" w:rsidRDefault="00B654B6" w:rsidP="00F17026">
      <w:pPr>
        <w:spacing w:before="120" w:after="120"/>
        <w:jc w:val="both"/>
        <w:rPr>
          <w:rFonts w:ascii="Arial" w:hAnsi="Arial" w:cs="Arial"/>
        </w:rPr>
      </w:pPr>
      <w:r w:rsidRPr="007148A6">
        <w:rPr>
          <w:rFonts w:ascii="Arial" w:hAnsi="Arial" w:cs="Arial"/>
        </w:rPr>
        <w:t>De</w:t>
      </w:r>
      <w:r w:rsidR="00E2535C" w:rsidRPr="007148A6">
        <w:rPr>
          <w:rFonts w:ascii="Arial" w:hAnsi="Arial" w:cs="Arial"/>
        </w:rPr>
        <w:t>be</w:t>
      </w:r>
      <w:r w:rsidRPr="007148A6">
        <w:rPr>
          <w:rFonts w:ascii="Arial" w:hAnsi="Arial" w:cs="Arial"/>
        </w:rPr>
        <w:t xml:space="preserve"> destacarse la </w:t>
      </w:r>
      <w:r w:rsidR="00BD1255" w:rsidRPr="007148A6">
        <w:rPr>
          <w:rFonts w:ascii="Arial" w:hAnsi="Arial" w:cs="Arial"/>
        </w:rPr>
        <w:t>diferencia importante entre la propuesta del CEA y la de Piffano</w:t>
      </w:r>
      <w:r w:rsidR="005944D0" w:rsidRPr="007148A6">
        <w:rPr>
          <w:rFonts w:ascii="Arial" w:hAnsi="Arial" w:cs="Arial"/>
        </w:rPr>
        <w:t>. La primera sostiene la conveni</w:t>
      </w:r>
      <w:r w:rsidR="00F069CF" w:rsidRPr="007148A6">
        <w:rPr>
          <w:rFonts w:ascii="Arial" w:hAnsi="Arial" w:cs="Arial"/>
        </w:rPr>
        <w:t xml:space="preserve">encia de un IVA subnacional aplicado según el criterio de destino y </w:t>
      </w:r>
      <w:r w:rsidR="00E67E10" w:rsidRPr="007148A6">
        <w:rPr>
          <w:rFonts w:ascii="Arial" w:hAnsi="Arial" w:cs="Arial"/>
        </w:rPr>
        <w:t>la segunda rechaza est</w:t>
      </w:r>
      <w:r w:rsidR="004545E2" w:rsidRPr="007148A6">
        <w:rPr>
          <w:rFonts w:ascii="Arial" w:hAnsi="Arial" w:cs="Arial"/>
        </w:rPr>
        <w:t xml:space="preserve">o fundado en las distorsiones que se podrían crear </w:t>
      </w:r>
      <w:r w:rsidR="00D61E7A" w:rsidRPr="007148A6">
        <w:rPr>
          <w:rFonts w:ascii="Arial" w:hAnsi="Arial" w:cs="Arial"/>
        </w:rPr>
        <w:t>por su aplicación por parte de un gobierno subnacional</w:t>
      </w:r>
      <w:r w:rsidR="00F73459" w:rsidRPr="007148A6">
        <w:rPr>
          <w:rFonts w:ascii="Arial" w:hAnsi="Arial" w:cs="Arial"/>
        </w:rPr>
        <w:t xml:space="preserve">, apoyando, en su lugar la </w:t>
      </w:r>
      <w:r w:rsidR="00E2535C" w:rsidRPr="007148A6">
        <w:rPr>
          <w:rFonts w:ascii="Arial" w:hAnsi="Arial" w:cs="Arial"/>
        </w:rPr>
        <w:t>introducción</w:t>
      </w:r>
      <w:r w:rsidR="00F73459" w:rsidRPr="007148A6">
        <w:rPr>
          <w:rFonts w:ascii="Arial" w:hAnsi="Arial" w:cs="Arial"/>
        </w:rPr>
        <w:t xml:space="preserve"> de un </w:t>
      </w:r>
      <w:r w:rsidR="00A52D05" w:rsidRPr="007148A6">
        <w:rPr>
          <w:rFonts w:ascii="Arial" w:hAnsi="Arial" w:cs="Arial"/>
        </w:rPr>
        <w:t>impuesto a las ventas minoristas (</w:t>
      </w:r>
      <w:r w:rsidR="00F642B5" w:rsidRPr="007148A6">
        <w:rPr>
          <w:rFonts w:ascii="Arial" w:hAnsi="Arial" w:cs="Arial"/>
        </w:rPr>
        <w:t>o, transitoriamente a las mayoristas y minoristas)</w:t>
      </w:r>
      <w:r w:rsidR="004C3A6B" w:rsidRPr="007148A6">
        <w:rPr>
          <w:rFonts w:ascii="Arial" w:hAnsi="Arial" w:cs="Arial"/>
        </w:rPr>
        <w:t>, en reemplazo del actual impuesto sobre los ingresos brutos</w:t>
      </w:r>
      <w:r w:rsidR="001D56BD" w:rsidRPr="007148A6">
        <w:rPr>
          <w:rFonts w:ascii="Arial" w:hAnsi="Arial" w:cs="Arial"/>
        </w:rPr>
        <w:t xml:space="preserve"> que tiene un efecto sumamente distorsivo sobre la actividad económica</w:t>
      </w:r>
      <w:r w:rsidR="00A82734" w:rsidRPr="007148A6">
        <w:rPr>
          <w:rFonts w:ascii="Arial" w:hAnsi="Arial" w:cs="Arial"/>
        </w:rPr>
        <w:t xml:space="preserve"> (sobre todo por ser de carácter multietápico)</w:t>
      </w:r>
      <w:r w:rsidR="001D56BD" w:rsidRPr="007148A6">
        <w:rPr>
          <w:rFonts w:ascii="Arial" w:hAnsi="Arial" w:cs="Arial"/>
        </w:rPr>
        <w:t xml:space="preserve"> y la asignación eficiente de los recursos productivos y </w:t>
      </w:r>
      <w:r w:rsidR="00E2535C" w:rsidRPr="007148A6">
        <w:rPr>
          <w:rFonts w:ascii="Arial" w:hAnsi="Arial" w:cs="Arial"/>
        </w:rPr>
        <w:t xml:space="preserve">que </w:t>
      </w:r>
      <w:r w:rsidR="001D56BD" w:rsidRPr="007148A6">
        <w:rPr>
          <w:rFonts w:ascii="Arial" w:hAnsi="Arial" w:cs="Arial"/>
        </w:rPr>
        <w:t xml:space="preserve">crea efectos negativos sobre </w:t>
      </w:r>
      <w:r w:rsidR="00E9314F" w:rsidRPr="007148A6">
        <w:rPr>
          <w:rFonts w:ascii="Arial" w:hAnsi="Arial" w:cs="Arial"/>
        </w:rPr>
        <w:t xml:space="preserve">la exportación de bienes. Debe tenerse en cuenta que </w:t>
      </w:r>
      <w:r w:rsidR="0085795E" w:rsidRPr="007148A6">
        <w:rPr>
          <w:rFonts w:ascii="Arial" w:hAnsi="Arial" w:cs="Arial"/>
        </w:rPr>
        <w:t xml:space="preserve">el impuesto sobre los ingresos </w:t>
      </w:r>
      <w:r w:rsidR="0006636B" w:rsidRPr="007148A6">
        <w:rPr>
          <w:rFonts w:ascii="Arial" w:hAnsi="Arial" w:cs="Arial"/>
        </w:rPr>
        <w:t>brutos</w:t>
      </w:r>
      <w:r w:rsidR="0085795E" w:rsidRPr="007148A6">
        <w:rPr>
          <w:rFonts w:ascii="Arial" w:hAnsi="Arial" w:cs="Arial"/>
        </w:rPr>
        <w:t xml:space="preserve"> </w:t>
      </w:r>
      <w:r w:rsidR="00331647" w:rsidRPr="007148A6">
        <w:rPr>
          <w:rFonts w:ascii="Arial" w:hAnsi="Arial" w:cs="Arial"/>
        </w:rPr>
        <w:t xml:space="preserve">es la principal fuente </w:t>
      </w:r>
      <w:r w:rsidR="0006636B" w:rsidRPr="007148A6">
        <w:rPr>
          <w:rFonts w:ascii="Arial" w:hAnsi="Arial" w:cs="Arial"/>
        </w:rPr>
        <w:t>tributaria</w:t>
      </w:r>
      <w:r w:rsidR="00331647" w:rsidRPr="007148A6">
        <w:rPr>
          <w:rFonts w:ascii="Arial" w:hAnsi="Arial" w:cs="Arial"/>
        </w:rPr>
        <w:t xml:space="preserve"> a </w:t>
      </w:r>
      <w:r w:rsidR="0006636B" w:rsidRPr="007148A6">
        <w:rPr>
          <w:rFonts w:ascii="Arial" w:hAnsi="Arial" w:cs="Arial"/>
        </w:rPr>
        <w:t>cargo</w:t>
      </w:r>
      <w:r w:rsidR="00331647" w:rsidRPr="007148A6">
        <w:rPr>
          <w:rFonts w:ascii="Arial" w:hAnsi="Arial" w:cs="Arial"/>
        </w:rPr>
        <w:t xml:space="preserve"> de las administraciones provinciales</w:t>
      </w:r>
      <w:r w:rsidR="00A82734" w:rsidRPr="007148A6">
        <w:rPr>
          <w:rFonts w:ascii="Arial" w:hAnsi="Arial" w:cs="Arial"/>
        </w:rPr>
        <w:t xml:space="preserve">, por lo que su sustitución por otro tributo que, además de no tener los efectos distorsivos del mencionado, debe caracterizarse por una factibilidad de ser administrado con eficiencia por todas las administraciones tributarias provinciales. Es por ello por lo que parece que un impuesto a las ventas </w:t>
      </w:r>
      <w:r w:rsidR="00E2535C" w:rsidRPr="007148A6">
        <w:rPr>
          <w:rFonts w:ascii="Arial" w:hAnsi="Arial" w:cs="Arial"/>
        </w:rPr>
        <w:t xml:space="preserve">minoristas </w:t>
      </w:r>
      <w:r w:rsidR="00A82734" w:rsidRPr="007148A6">
        <w:rPr>
          <w:rFonts w:ascii="Arial" w:hAnsi="Arial" w:cs="Arial"/>
        </w:rPr>
        <w:t>puede ser más accesible y eficiente que un IVA provincial.</w:t>
      </w:r>
    </w:p>
    <w:p w14:paraId="4908DC7F" w14:textId="4124500D" w:rsidR="00FE4873" w:rsidRPr="007148A6" w:rsidRDefault="00EB1DF7" w:rsidP="00FE4873">
      <w:pPr>
        <w:jc w:val="both"/>
        <w:rPr>
          <w:rFonts w:ascii="Arial" w:hAnsi="Arial" w:cs="Arial"/>
          <w:lang w:val="es-419"/>
        </w:rPr>
      </w:pPr>
      <w:r w:rsidRPr="007148A6">
        <w:rPr>
          <w:rFonts w:ascii="Arial" w:hAnsi="Arial" w:cs="Arial"/>
        </w:rPr>
        <w:t>En cuanto a la postura de Pérez Hualde, sin entrar a discutir sus fundamentos jurídicos, ya que escapan de la competencia de los autores del presente, cuya formación económica puede fundamentar posiciones distintas</w:t>
      </w:r>
      <w:r w:rsidR="00FE4873" w:rsidRPr="007148A6">
        <w:rPr>
          <w:rFonts w:ascii="Arial" w:hAnsi="Arial" w:cs="Arial"/>
        </w:rPr>
        <w:t xml:space="preserve">, debe destacarse un aspecto singular: sostiene (se repite aquí el texto) </w:t>
      </w:r>
      <w:r w:rsidR="00FE4873" w:rsidRPr="007148A6">
        <w:rPr>
          <w:rFonts w:ascii="Arial" w:hAnsi="Arial" w:cs="Arial"/>
          <w:lang w:val="es-419"/>
        </w:rPr>
        <w:t>“la norma no debe contener los índices o porcentajes, sino las pautas para determinarlos y los mecanismos para discutirlos y revisarlos” y que “la Constitución no prevé la determinación de porcentajes; es más, incluirlos traiciona el texto constitucional porque destruye el carácter esencialmente dinámico que implican los criterios seleccionados por la norma del 3° párr. del inc. 2 del art. 75, C.N. Deben estar precisados los criterios para arribar en cada caso al porcentaje correspondiente, pero no pretender estratificar un porcentaje coyuntural”.</w:t>
      </w:r>
    </w:p>
    <w:p w14:paraId="1AEB83F3" w14:textId="13DDFEE0" w:rsidR="0037009E" w:rsidRPr="007148A6" w:rsidRDefault="00FE4873" w:rsidP="00FE4873">
      <w:pPr>
        <w:jc w:val="both"/>
        <w:rPr>
          <w:rFonts w:ascii="Arial" w:hAnsi="Arial" w:cs="Arial"/>
          <w:lang w:val="es-419"/>
        </w:rPr>
      </w:pPr>
      <w:r w:rsidRPr="007148A6">
        <w:rPr>
          <w:rFonts w:ascii="Arial" w:hAnsi="Arial" w:cs="Arial"/>
          <w:lang w:val="es-419"/>
        </w:rPr>
        <w:lastRenderedPageBreak/>
        <w:t xml:space="preserve">Esta posición es </w:t>
      </w:r>
      <w:r w:rsidR="00EC02C0" w:rsidRPr="007148A6">
        <w:rPr>
          <w:rFonts w:ascii="Arial" w:hAnsi="Arial" w:cs="Arial"/>
          <w:lang w:val="es-419"/>
        </w:rPr>
        <w:t>destacable, pero</w:t>
      </w:r>
      <w:r w:rsidRPr="007148A6">
        <w:rPr>
          <w:rFonts w:ascii="Arial" w:hAnsi="Arial" w:cs="Arial"/>
          <w:lang w:val="es-419"/>
        </w:rPr>
        <w:t xml:space="preserve"> ¿quién entonces determina los porcentajes de distribución, el organismo fiscal federal, o un órgano o ministerio del gobierno nacional? </w:t>
      </w:r>
      <w:r w:rsidR="00EC02C0" w:rsidRPr="007148A6">
        <w:rPr>
          <w:rFonts w:ascii="Arial" w:hAnsi="Arial" w:cs="Arial"/>
          <w:lang w:val="es-419"/>
        </w:rPr>
        <w:t xml:space="preserve">Si bien ese autor fundamenta su posición en que, si la Nación estableciera un tributo con un fin específico y transitorio sería </w:t>
      </w:r>
      <w:r w:rsidR="00EC02C0" w:rsidRPr="007148A6">
        <w:rPr>
          <w:rFonts w:ascii="Arial" w:hAnsi="Arial" w:cs="Arial"/>
          <w:i/>
          <w:iCs/>
          <w:lang w:val="es-419"/>
        </w:rPr>
        <w:t>contra legem</w:t>
      </w:r>
      <w:r w:rsidR="007E54EC" w:rsidRPr="007148A6">
        <w:rPr>
          <w:rFonts w:ascii="Arial" w:hAnsi="Arial" w:cs="Arial"/>
          <w:lang w:val="es-419"/>
        </w:rPr>
        <w:t>,</w:t>
      </w:r>
      <w:r w:rsidR="00EC02C0" w:rsidRPr="007148A6">
        <w:rPr>
          <w:rFonts w:ascii="Arial" w:hAnsi="Arial" w:cs="Arial"/>
          <w:lang w:val="es-419"/>
        </w:rPr>
        <w:t xml:space="preserve"> la cuestión, a juicio de los autores de</w:t>
      </w:r>
      <w:r w:rsidR="007E54EC" w:rsidRPr="007148A6">
        <w:rPr>
          <w:rFonts w:ascii="Arial" w:hAnsi="Arial" w:cs="Arial"/>
          <w:lang w:val="es-419"/>
        </w:rPr>
        <w:t>l</w:t>
      </w:r>
      <w:r w:rsidR="00EC02C0" w:rsidRPr="007148A6">
        <w:rPr>
          <w:rFonts w:ascii="Arial" w:hAnsi="Arial" w:cs="Arial"/>
          <w:lang w:val="es-419"/>
        </w:rPr>
        <w:t xml:space="preserve"> presente, debería estar contemplada en la ley que se dicte. </w:t>
      </w:r>
    </w:p>
    <w:p w14:paraId="6FD4FD8A" w14:textId="6F050562" w:rsidR="0037009E" w:rsidRPr="007148A6" w:rsidRDefault="00EC02C0" w:rsidP="00FE4873">
      <w:pPr>
        <w:jc w:val="both"/>
        <w:rPr>
          <w:rFonts w:ascii="Arial" w:hAnsi="Arial" w:cs="Arial"/>
          <w:lang w:val="es-419"/>
        </w:rPr>
      </w:pPr>
      <w:r w:rsidRPr="007148A6">
        <w:rPr>
          <w:rFonts w:ascii="Arial" w:hAnsi="Arial" w:cs="Arial"/>
          <w:lang w:val="es-419"/>
        </w:rPr>
        <w:t>Por otra parte, l</w:t>
      </w:r>
      <w:r w:rsidR="0037009E" w:rsidRPr="007148A6">
        <w:rPr>
          <w:rFonts w:ascii="Arial" w:hAnsi="Arial" w:cs="Arial"/>
          <w:lang w:val="es-419"/>
        </w:rPr>
        <w:t>as facultades del organismo fiscal, según el último párrafo del inciso 2 del artículo 75 de la C. N., estarían limitadas a control y fiscalización del sistema asegurando en el mismo la representación de todas las provincias y de la Ciudad de Buenos Aires</w:t>
      </w:r>
      <w:r w:rsidRPr="007148A6">
        <w:rPr>
          <w:rFonts w:ascii="Arial" w:hAnsi="Arial" w:cs="Arial"/>
          <w:lang w:val="es-419"/>
        </w:rPr>
        <w:t>, por lo que la administración del régimen quedaría fuera de su competencia</w:t>
      </w:r>
      <w:r w:rsidR="0037009E" w:rsidRPr="007148A6">
        <w:rPr>
          <w:rFonts w:ascii="Arial" w:hAnsi="Arial" w:cs="Arial"/>
          <w:lang w:val="es-419"/>
        </w:rPr>
        <w:t xml:space="preserve">. </w:t>
      </w:r>
    </w:p>
    <w:p w14:paraId="55244F73" w14:textId="6D5F90ED" w:rsidR="00EB1DF7" w:rsidRPr="007148A6" w:rsidRDefault="00FE4873" w:rsidP="00FE4873">
      <w:pPr>
        <w:jc w:val="both"/>
        <w:rPr>
          <w:rFonts w:ascii="Arial" w:hAnsi="Arial" w:cs="Arial"/>
          <w:lang w:val="es-419"/>
        </w:rPr>
      </w:pPr>
      <w:r w:rsidRPr="007148A6">
        <w:rPr>
          <w:rFonts w:ascii="Arial" w:hAnsi="Arial" w:cs="Arial"/>
          <w:lang w:val="es-419"/>
        </w:rPr>
        <w:t>Hasta ahora todas las leyes que rigieron e</w:t>
      </w:r>
      <w:r w:rsidR="008F2508" w:rsidRPr="007148A6">
        <w:rPr>
          <w:rFonts w:ascii="Arial" w:hAnsi="Arial" w:cs="Arial"/>
          <w:lang w:val="es-419"/>
        </w:rPr>
        <w:t>l</w:t>
      </w:r>
      <w:r w:rsidRPr="007148A6">
        <w:rPr>
          <w:rFonts w:ascii="Arial" w:hAnsi="Arial" w:cs="Arial"/>
          <w:lang w:val="es-419"/>
        </w:rPr>
        <w:t xml:space="preserve"> régimen de distribución de recursos establecieron porcentajes</w:t>
      </w:r>
      <w:r w:rsidR="006A610A" w:rsidRPr="007148A6">
        <w:rPr>
          <w:rFonts w:ascii="Arial" w:hAnsi="Arial" w:cs="Arial"/>
          <w:lang w:val="es-419"/>
        </w:rPr>
        <w:t xml:space="preserve"> de distribución</w:t>
      </w:r>
      <w:r w:rsidRPr="007148A6">
        <w:rPr>
          <w:rFonts w:ascii="Arial" w:hAnsi="Arial" w:cs="Arial"/>
          <w:lang w:val="es-419"/>
        </w:rPr>
        <w:t xml:space="preserve">. No escapa al criterio de estos autores que los porcentajes </w:t>
      </w:r>
      <w:r w:rsidR="0037009E" w:rsidRPr="007148A6">
        <w:rPr>
          <w:rFonts w:ascii="Arial" w:hAnsi="Arial" w:cs="Arial"/>
          <w:lang w:val="es-419"/>
        </w:rPr>
        <w:t xml:space="preserve">deberían ser revisados con alguna periodicidad, pero su determinación da estabilidad al régimen. De otra forma podría quedar sometido el sistema a la arbitrariedad y al clientelismo político, como ocurrió en los años previos a </w:t>
      </w:r>
      <w:r w:rsidR="00582043" w:rsidRPr="007148A6">
        <w:rPr>
          <w:rFonts w:ascii="Arial" w:hAnsi="Arial" w:cs="Arial"/>
          <w:lang w:val="es-419"/>
        </w:rPr>
        <w:t>la ley</w:t>
      </w:r>
      <w:r w:rsidR="0037009E" w:rsidRPr="007148A6">
        <w:rPr>
          <w:rFonts w:ascii="Arial" w:hAnsi="Arial" w:cs="Arial"/>
          <w:lang w:val="es-419"/>
        </w:rPr>
        <w:t xml:space="preserve"> 23.548</w:t>
      </w:r>
      <w:r w:rsidR="00582043" w:rsidRPr="007148A6">
        <w:rPr>
          <w:rFonts w:ascii="Arial" w:hAnsi="Arial" w:cs="Arial"/>
          <w:lang w:val="es-419"/>
        </w:rPr>
        <w:t>, después que venciera la vigencia de la 20221, su prórroga y el acuerdo financiero transitorio</w:t>
      </w:r>
      <w:r w:rsidR="0037009E" w:rsidRPr="007148A6">
        <w:rPr>
          <w:rFonts w:ascii="Arial" w:hAnsi="Arial" w:cs="Arial"/>
          <w:lang w:val="es-419"/>
        </w:rPr>
        <w:t>.</w:t>
      </w:r>
    </w:p>
    <w:p w14:paraId="2085FA7D" w14:textId="60466DBA" w:rsidR="00F17026" w:rsidRPr="007148A6" w:rsidRDefault="00F17026" w:rsidP="00F17026">
      <w:pPr>
        <w:pStyle w:val="Prrafodelista"/>
        <w:numPr>
          <w:ilvl w:val="0"/>
          <w:numId w:val="1"/>
        </w:numPr>
        <w:spacing w:before="120" w:after="120"/>
        <w:jc w:val="both"/>
        <w:rPr>
          <w:rFonts w:ascii="Arial" w:hAnsi="Arial" w:cs="Arial"/>
          <w:b/>
          <w:bCs/>
        </w:rPr>
      </w:pPr>
      <w:r w:rsidRPr="007148A6">
        <w:rPr>
          <w:rFonts w:ascii="Arial" w:hAnsi="Arial" w:cs="Arial"/>
          <w:b/>
          <w:bCs/>
        </w:rPr>
        <w:t>Fundamentación de una nueva propuesta</w:t>
      </w:r>
    </w:p>
    <w:p w14:paraId="08EC63F2" w14:textId="486D414F" w:rsidR="00A82734" w:rsidRPr="007148A6" w:rsidRDefault="00A82734" w:rsidP="00A82734">
      <w:pPr>
        <w:spacing w:before="120" w:after="120"/>
        <w:jc w:val="both"/>
        <w:rPr>
          <w:rFonts w:ascii="Arial" w:hAnsi="Arial" w:cs="Arial"/>
        </w:rPr>
      </w:pPr>
      <w:r w:rsidRPr="007148A6">
        <w:rPr>
          <w:rFonts w:ascii="Arial" w:hAnsi="Arial" w:cs="Arial"/>
        </w:rPr>
        <w:t>En el trabajo precedente de los autores del presente se sostenía que la distribución primaria entre el gobierno nacional y el conjunto de jurisdicciones subnacionales debía ajustarse a la real participación de ambos niveles en el gasto público total, lo que sería una forma de ajustarse al criterio de hacer la participación en función de las competencias, servicios y funciones de los mismos. Esto puede verificarse en la ejecución del gasto público por ambos niveles, agregando al provincial el gasto municipal.</w:t>
      </w:r>
    </w:p>
    <w:p w14:paraId="226F497F" w14:textId="26C0DE37" w:rsidR="00A82734" w:rsidRPr="007148A6" w:rsidRDefault="00A82734" w:rsidP="00A82734">
      <w:pPr>
        <w:spacing w:before="120" w:after="120"/>
        <w:jc w:val="both"/>
        <w:rPr>
          <w:rFonts w:ascii="Arial" w:hAnsi="Arial" w:cs="Arial"/>
        </w:rPr>
      </w:pPr>
      <w:r w:rsidRPr="007148A6">
        <w:rPr>
          <w:rFonts w:ascii="Arial" w:hAnsi="Arial" w:cs="Arial"/>
        </w:rPr>
        <w:t>En ese artículo anterior se tuvo en cuenta la información contenida en el cuadro</w:t>
      </w:r>
      <w:r w:rsidR="008F68F1" w:rsidRPr="007148A6">
        <w:rPr>
          <w:rFonts w:ascii="Arial" w:hAnsi="Arial" w:cs="Arial"/>
        </w:rPr>
        <w:t xml:space="preserve"> 1, </w:t>
      </w:r>
      <w:r w:rsidR="00DE36F1" w:rsidRPr="007148A6">
        <w:rPr>
          <w:rFonts w:ascii="Arial" w:hAnsi="Arial" w:cs="Arial"/>
        </w:rPr>
        <w:t>ahora actualizado</w:t>
      </w:r>
      <w:r w:rsidRPr="007148A6">
        <w:rPr>
          <w:rFonts w:ascii="Arial" w:hAnsi="Arial" w:cs="Arial"/>
        </w:rPr>
        <w:t>.</w:t>
      </w:r>
    </w:p>
    <w:p w14:paraId="010A5A42" w14:textId="1A326DBF" w:rsidR="00A82734" w:rsidRDefault="00A967BE" w:rsidP="001A4E16">
      <w:pPr>
        <w:spacing w:before="120" w:after="120"/>
        <w:jc w:val="center"/>
        <w:rPr>
          <w:rFonts w:ascii="Arial" w:hAnsi="Arial" w:cs="Arial"/>
          <w:b/>
          <w:bCs/>
        </w:rPr>
      </w:pPr>
      <w:r w:rsidRPr="007148A6">
        <w:rPr>
          <w:rFonts w:ascii="Arial" w:hAnsi="Arial" w:cs="Arial"/>
          <w:b/>
          <w:bCs/>
        </w:rPr>
        <w:t>Gráfico</w:t>
      </w:r>
      <w:r w:rsidR="0012070E" w:rsidRPr="007148A6">
        <w:rPr>
          <w:rFonts w:ascii="Arial" w:hAnsi="Arial" w:cs="Arial"/>
          <w:b/>
          <w:bCs/>
        </w:rPr>
        <w:t xml:space="preserve"> </w:t>
      </w:r>
      <w:r w:rsidR="003E149F" w:rsidRPr="007148A6">
        <w:rPr>
          <w:rFonts w:ascii="Arial" w:hAnsi="Arial" w:cs="Arial"/>
          <w:b/>
          <w:bCs/>
        </w:rPr>
        <w:t xml:space="preserve">1 </w:t>
      </w:r>
      <w:r w:rsidR="00493577" w:rsidRPr="007148A6">
        <w:rPr>
          <w:rFonts w:ascii="Arial" w:hAnsi="Arial" w:cs="Arial"/>
          <w:b/>
          <w:bCs/>
        </w:rPr>
        <w:t>– Gasto Público consolidado por nivel de gobierno</w:t>
      </w:r>
    </w:p>
    <w:p w14:paraId="01681D7F" w14:textId="35DD8BCA" w:rsidR="00DE36F1" w:rsidRPr="002B02D8" w:rsidRDefault="004765BC" w:rsidP="003544F3">
      <w:pPr>
        <w:spacing w:before="120" w:after="120"/>
        <w:jc w:val="both"/>
        <w:rPr>
          <w:rFonts w:cstheme="minorHAnsi"/>
          <w:b/>
          <w:bCs/>
          <w:sz w:val="20"/>
          <w:szCs w:val="20"/>
        </w:rPr>
      </w:pPr>
      <w:r>
        <w:rPr>
          <w:noProof/>
          <w:lang w:eastAsia="es-AR"/>
        </w:rPr>
        <w:drawing>
          <wp:inline distT="0" distB="0" distL="0" distR="0" wp14:anchorId="0F488294" wp14:editId="2023D86C">
            <wp:extent cx="5734050" cy="300990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ACF520E" w14:textId="082B18B2" w:rsidR="00A82734" w:rsidRPr="00B15674" w:rsidRDefault="00A82734" w:rsidP="00B15674">
      <w:pPr>
        <w:spacing w:after="240"/>
        <w:jc w:val="center"/>
        <w:rPr>
          <w:rFonts w:ascii="Arial" w:hAnsi="Arial" w:cs="Arial"/>
          <w:bCs/>
          <w:sz w:val="18"/>
          <w:szCs w:val="18"/>
        </w:rPr>
      </w:pPr>
      <w:r w:rsidRPr="00B15674">
        <w:rPr>
          <w:rFonts w:ascii="Arial" w:hAnsi="Arial" w:cs="Arial"/>
          <w:bCs/>
          <w:sz w:val="18"/>
          <w:szCs w:val="18"/>
        </w:rPr>
        <w:t>Fuente: elaboración propia sobre datos de la Secretaría de Política Económica.</w:t>
      </w:r>
    </w:p>
    <w:p w14:paraId="47A20916" w14:textId="77777777" w:rsidR="00B15674" w:rsidRPr="007148A6" w:rsidRDefault="00B15674" w:rsidP="00B15674">
      <w:pPr>
        <w:spacing w:before="120" w:after="120"/>
        <w:jc w:val="both"/>
        <w:rPr>
          <w:rFonts w:ascii="Arial" w:hAnsi="Arial" w:cs="Arial"/>
        </w:rPr>
      </w:pPr>
      <w:r w:rsidRPr="007148A6">
        <w:rPr>
          <w:rFonts w:ascii="Arial" w:hAnsi="Arial" w:cs="Arial"/>
        </w:rPr>
        <w:lastRenderedPageBreak/>
        <w:t>De los datos de ese cuadro surgiría que aproximadamente el 56% de la recaudación nacional debería destinarse a financiar el gasto del nivel más alto, y el 44% al subnacional (teniendo en cuenta que, dentro de él, 7% corresponde a gasto municipal) según la información correspondiente al año 2017.</w:t>
      </w:r>
    </w:p>
    <w:p w14:paraId="2E43654A" w14:textId="77777777" w:rsidR="00B15674" w:rsidRPr="007148A6" w:rsidRDefault="00B15674" w:rsidP="00B15674">
      <w:pPr>
        <w:spacing w:before="120" w:after="120"/>
        <w:jc w:val="both"/>
        <w:rPr>
          <w:rFonts w:ascii="Arial" w:hAnsi="Arial" w:cs="Arial"/>
        </w:rPr>
      </w:pPr>
      <w:r w:rsidRPr="007148A6">
        <w:rPr>
          <w:rFonts w:ascii="Arial" w:hAnsi="Arial" w:cs="Arial"/>
        </w:rPr>
        <w:t>Estos porcentajes pueden considerarse razonables en base a la realidad registrada en las últimas décadas y deberían ajustarse en función de posibles reestructuraciones de las competencias de los distintos niveles.</w:t>
      </w:r>
    </w:p>
    <w:p w14:paraId="0A9643BC" w14:textId="079D3FF0" w:rsidR="00A76782" w:rsidRPr="007148A6" w:rsidRDefault="00A76782" w:rsidP="00A76782">
      <w:pPr>
        <w:spacing w:before="120" w:after="120"/>
        <w:jc w:val="both"/>
        <w:rPr>
          <w:rFonts w:ascii="Arial" w:hAnsi="Arial" w:cs="Arial"/>
        </w:rPr>
      </w:pPr>
      <w:r w:rsidRPr="007148A6">
        <w:rPr>
          <w:rFonts w:ascii="Arial" w:hAnsi="Arial" w:cs="Arial"/>
        </w:rPr>
        <w:t xml:space="preserve">Formalmente esto sería un cambio notable en cuanto a los porcentajes. La ley vigente, 23.548, establece como porcentajes de distribución primaria el 42,34% para el nivel nacional y el 56,66% para las provincias, reservando un 1% para un fondo de aportes del Tesoro Nacional (ATN), también para ser destinados a las provincias, pero administrado por el Ministerio del Interior. En la masa que se aplican estos porcentajes no están incluidos los tributos sobre el comercio exterior ni los que tienen asignación específica, tanto que el Art. 7 de la misma ley establece como garantía que el monto a distribuir a las provincias no debe ser inferior al 34% de los recursos tributarios nacionales, sean o no distribuibles conforme a la ley. Si la totalidad de los montos recaudados pasaran a ser distribuibles, la participación porcentual de las provincias debería disminuir. De todos modos, la participación nacional actual de masa coparticipable ha disminuido formalmente por la incorporación de la Ciudad de Buenos Aires y de Tierra del Fuego como partícipes del sistema, antes a cargo de la Nación, y cuyos índices de coparticipación han sido aumentados. En 2018 la participación neta del gobierno nacional fue el 38,14%, la de CABA del 3,5%, continuando el 1% para el fondo de ATN. </w:t>
      </w:r>
    </w:p>
    <w:p w14:paraId="52DD981B" w14:textId="75B100EF" w:rsidR="00A76782" w:rsidRPr="007148A6" w:rsidRDefault="00A76782" w:rsidP="00A76782">
      <w:pPr>
        <w:spacing w:before="120" w:after="120"/>
        <w:jc w:val="both"/>
        <w:rPr>
          <w:rFonts w:ascii="Arial" w:hAnsi="Arial" w:cs="Arial"/>
        </w:rPr>
      </w:pPr>
      <w:r w:rsidRPr="007148A6">
        <w:rPr>
          <w:rFonts w:ascii="Arial" w:hAnsi="Arial" w:cs="Arial"/>
        </w:rPr>
        <w:t>En el gráfico 2 se puede observar la evolución de la masa coparticipable en los últimos años, la que ha ido variando desde un 33% en 2009 al 41% (estimado) en 2019. En el mismo, la estimación para 2019 no incluye los impuestos nacionales no recaudados por la AFIP, como el Fondo Nacional del Tabaco, el Fondo de la Energía Eléctrica, el impuesto sobre pasajes aéreos, los ingresos de las cajas previsionales de las Fuerzas Armadas y de Seguridad y las asignaciones familiares compensables.</w:t>
      </w:r>
    </w:p>
    <w:p w14:paraId="1156F96D" w14:textId="77777777" w:rsidR="00B15674" w:rsidRPr="007148A6" w:rsidRDefault="00B15674" w:rsidP="00B15674">
      <w:pPr>
        <w:spacing w:before="240" w:after="120"/>
        <w:jc w:val="both"/>
        <w:rPr>
          <w:rFonts w:ascii="Arial" w:hAnsi="Arial" w:cs="Arial"/>
        </w:rPr>
      </w:pPr>
      <w:r w:rsidRPr="007148A6">
        <w:rPr>
          <w:rFonts w:ascii="Arial" w:hAnsi="Arial" w:cs="Arial"/>
        </w:rPr>
        <w:t>En cuanto a la distribución secundaria, es decir, lo que corresponde a cada jurisdicción de segundo nivel, la que también debe ajustarse a la norma de proporcionalidad a las competencias, servicios y funciones, la cuestión se torna más controversial. Si se analiza el monto per cápita que ha correspondido a cada una de ellas en los últimos años, resalta la gran disparidad existente. La provincia de Buenos Aires es la que registra la menor coparticipación por habitante, seguida por la CABA y luego por Mendoza. Córdoba y Santa Fe oscilan en torno al promedio nacional y las restantes 19 jurisdicciones están por encima del mismo (aunque en 2018, Salta, Misiones, Neuquén y Chubut recibieron menos recursos nacionales per cápita que Santa Fe).</w:t>
      </w:r>
    </w:p>
    <w:p w14:paraId="584F4487" w14:textId="50AB783A" w:rsidR="00B15674" w:rsidRDefault="00B15674">
      <w:pPr>
        <w:rPr>
          <w:rFonts w:ascii="Arial" w:hAnsi="Arial" w:cs="Arial"/>
          <w:b/>
          <w:bCs/>
        </w:rPr>
      </w:pPr>
      <w:r>
        <w:rPr>
          <w:rFonts w:ascii="Arial" w:hAnsi="Arial" w:cs="Arial"/>
          <w:b/>
          <w:bCs/>
        </w:rPr>
        <w:br w:type="page"/>
      </w:r>
    </w:p>
    <w:p w14:paraId="1D2C0071" w14:textId="7404DA6A" w:rsidR="004765BC" w:rsidRPr="007148A6" w:rsidRDefault="004765BC" w:rsidP="004765BC">
      <w:pPr>
        <w:spacing w:before="120" w:after="120"/>
        <w:jc w:val="center"/>
        <w:rPr>
          <w:rFonts w:ascii="Arial" w:hAnsi="Arial" w:cs="Arial"/>
          <w:b/>
          <w:bCs/>
        </w:rPr>
      </w:pPr>
      <w:r w:rsidRPr="007148A6">
        <w:rPr>
          <w:rFonts w:ascii="Arial" w:hAnsi="Arial" w:cs="Arial"/>
          <w:b/>
          <w:bCs/>
        </w:rPr>
        <w:lastRenderedPageBreak/>
        <w:t>Gráfico Nº 2 – Recaudación Tributaria y Masa Coparticipable</w:t>
      </w:r>
    </w:p>
    <w:p w14:paraId="3E79D83F" w14:textId="250DB352" w:rsidR="00A967BE" w:rsidRPr="007148A6" w:rsidRDefault="00D433CE" w:rsidP="00093C44">
      <w:pPr>
        <w:spacing w:before="240" w:after="120"/>
        <w:jc w:val="center"/>
        <w:rPr>
          <w:rFonts w:ascii="Arial" w:hAnsi="Arial" w:cs="Arial"/>
        </w:rPr>
      </w:pPr>
      <w:r w:rsidRPr="007148A6">
        <w:rPr>
          <w:rFonts w:ascii="Arial" w:hAnsi="Arial" w:cs="Arial"/>
          <w:noProof/>
          <w:lang w:eastAsia="es-AR"/>
        </w:rPr>
        <w:drawing>
          <wp:inline distT="0" distB="0" distL="0" distR="0" wp14:anchorId="31C30FE1" wp14:editId="610083F2">
            <wp:extent cx="5562600" cy="302895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E9BC55E" w14:textId="2E12D76D" w:rsidR="00A76782" w:rsidRPr="00B15674" w:rsidRDefault="00A76782" w:rsidP="00B15674">
      <w:pPr>
        <w:spacing w:after="120" w:line="240" w:lineRule="auto"/>
        <w:jc w:val="center"/>
        <w:rPr>
          <w:rFonts w:ascii="Arial" w:hAnsi="Arial" w:cs="Arial"/>
          <w:sz w:val="18"/>
          <w:szCs w:val="18"/>
        </w:rPr>
      </w:pPr>
      <w:r w:rsidRPr="00B15674">
        <w:rPr>
          <w:rFonts w:ascii="Arial" w:hAnsi="Arial" w:cs="Arial"/>
          <w:sz w:val="18"/>
          <w:szCs w:val="18"/>
        </w:rPr>
        <w:t>Fuente: Elaboración propia. Datos provenientes de la Comisión Federal de Impuestos, la Dirección Nacional de Investigaciones y Análisis Fiscal y la Dirección Nacional de Asuntos Provinciales.</w:t>
      </w:r>
    </w:p>
    <w:p w14:paraId="315AD308" w14:textId="4C053E14" w:rsidR="00A82734" w:rsidRPr="007148A6" w:rsidRDefault="00B92E54" w:rsidP="00A82734">
      <w:pPr>
        <w:spacing w:before="120" w:after="120"/>
        <w:jc w:val="both"/>
        <w:rPr>
          <w:rFonts w:ascii="Arial" w:hAnsi="Arial" w:cs="Arial"/>
        </w:rPr>
      </w:pPr>
      <w:r w:rsidRPr="007148A6">
        <w:rPr>
          <w:rFonts w:ascii="Arial" w:hAnsi="Arial" w:cs="Arial"/>
        </w:rPr>
        <w:t xml:space="preserve">En el </w:t>
      </w:r>
      <w:r w:rsidR="00582043" w:rsidRPr="007148A6">
        <w:rPr>
          <w:rFonts w:ascii="Arial" w:hAnsi="Arial" w:cs="Arial"/>
        </w:rPr>
        <w:t>C</w:t>
      </w:r>
      <w:r w:rsidRPr="007148A6">
        <w:rPr>
          <w:rFonts w:ascii="Arial" w:hAnsi="Arial" w:cs="Arial"/>
        </w:rPr>
        <w:t xml:space="preserve">uadro </w:t>
      </w:r>
      <w:r w:rsidR="00B04F2D" w:rsidRPr="007148A6">
        <w:rPr>
          <w:rFonts w:ascii="Arial" w:hAnsi="Arial" w:cs="Arial"/>
        </w:rPr>
        <w:t>1</w:t>
      </w:r>
      <w:r w:rsidRPr="007148A6">
        <w:rPr>
          <w:rFonts w:ascii="Arial" w:hAnsi="Arial" w:cs="Arial"/>
        </w:rPr>
        <w:t xml:space="preserve"> se puede apreciar e</w:t>
      </w:r>
      <w:r w:rsidR="001D42ED" w:rsidRPr="007148A6">
        <w:rPr>
          <w:rFonts w:ascii="Arial" w:hAnsi="Arial" w:cs="Arial"/>
        </w:rPr>
        <w:t>sta distribución</w:t>
      </w:r>
      <w:r w:rsidR="008065DC" w:rsidRPr="007148A6">
        <w:rPr>
          <w:rFonts w:ascii="Arial" w:hAnsi="Arial" w:cs="Arial"/>
        </w:rPr>
        <w:t xml:space="preserve"> para el año 201</w:t>
      </w:r>
      <w:r w:rsidR="004765BC" w:rsidRPr="007148A6">
        <w:rPr>
          <w:rFonts w:ascii="Arial" w:hAnsi="Arial" w:cs="Arial"/>
        </w:rPr>
        <w:t>9</w:t>
      </w:r>
      <w:r w:rsidR="006308C9" w:rsidRPr="007148A6">
        <w:rPr>
          <w:rFonts w:ascii="Arial" w:hAnsi="Arial" w:cs="Arial"/>
        </w:rPr>
        <w:t xml:space="preserve">. </w:t>
      </w:r>
      <w:r w:rsidR="0089046F" w:rsidRPr="007148A6">
        <w:rPr>
          <w:rFonts w:ascii="Arial" w:hAnsi="Arial" w:cs="Arial"/>
        </w:rPr>
        <w:t>En</w:t>
      </w:r>
      <w:r w:rsidR="00084665" w:rsidRPr="007148A6">
        <w:rPr>
          <w:rFonts w:ascii="Arial" w:hAnsi="Arial" w:cs="Arial"/>
        </w:rPr>
        <w:t xml:space="preserve"> </w:t>
      </w:r>
      <w:r w:rsidR="0089046F" w:rsidRPr="007148A6">
        <w:rPr>
          <w:rFonts w:ascii="Arial" w:hAnsi="Arial" w:cs="Arial"/>
        </w:rPr>
        <w:t>el mismo se han tomado todos los recursos transferidos sin distinguir</w:t>
      </w:r>
      <w:r w:rsidR="006800E8" w:rsidRPr="007148A6">
        <w:rPr>
          <w:rFonts w:ascii="Arial" w:hAnsi="Arial" w:cs="Arial"/>
        </w:rPr>
        <w:t xml:space="preserve"> el régimen por el cual </w:t>
      </w:r>
      <w:r w:rsidR="00E71B86" w:rsidRPr="007148A6">
        <w:rPr>
          <w:rFonts w:ascii="Arial" w:hAnsi="Arial" w:cs="Arial"/>
        </w:rPr>
        <w:t>se hizo</w:t>
      </w:r>
      <w:r w:rsidR="006800E8" w:rsidRPr="007148A6">
        <w:rPr>
          <w:rFonts w:ascii="Arial" w:hAnsi="Arial" w:cs="Arial"/>
        </w:rPr>
        <w:t>.</w:t>
      </w:r>
    </w:p>
    <w:p w14:paraId="461805AE" w14:textId="1194F204" w:rsidR="00B15674" w:rsidRDefault="00A76782" w:rsidP="00A76782">
      <w:pPr>
        <w:spacing w:before="120" w:after="120"/>
        <w:jc w:val="both"/>
        <w:rPr>
          <w:rFonts w:ascii="Arial" w:hAnsi="Arial" w:cs="Arial"/>
        </w:rPr>
      </w:pPr>
      <w:r w:rsidRPr="007148A6">
        <w:rPr>
          <w:rFonts w:ascii="Arial" w:hAnsi="Arial" w:cs="Arial"/>
        </w:rPr>
        <w:t>Como se puede observar en él, la provincia de Buenos Aires, como se dijo anteriormente, es la que tiene menor coparticipación per cápita, lo cual en parte puede ser explicado por ser la jurisdicción de mayor población, aunque es indudable los efectos de la negociación política que dio origen a la Ley 23.548 que no le fue favorable. En el extremo contrario está Tierra del Fuego que es precisamente la provincia de menor cantidad de habitantes. La Ciudad de Buenos Aires sería la penúltima en el rango de esta distribución, lo cual en parte puede ser justificado por los servicios locales que son atendidos por el gobierno nacional (principalmente Justicia, servicio penitenciario y, en parte, Seguridad). De todos modos, esa jurisdicción ha tenido un aumento notable en los últimos años ya que pasó de una participación formal del 1,4% en la distribución al actual 3,5% según el régimen legal de coparticipación, principalmente en compensación por la transferencia de servicios antes prestado por la jurisdicción nacional al gobierno local (en especial el servicio de seguridad que antes prestaba la Policía Federal a través de sus comisarías que fueron transferidas al gobierno de la Ciudad).</w:t>
      </w:r>
      <w:r w:rsidRPr="007148A6">
        <w:rPr>
          <w:rStyle w:val="Refdenotaalpie"/>
          <w:rFonts w:ascii="Arial" w:hAnsi="Arial" w:cs="Arial"/>
        </w:rPr>
        <w:footnoteReference w:id="16"/>
      </w:r>
    </w:p>
    <w:p w14:paraId="1A1548C4" w14:textId="77777777" w:rsidR="00B15674" w:rsidRDefault="00B15674">
      <w:pPr>
        <w:rPr>
          <w:rFonts w:ascii="Arial" w:hAnsi="Arial" w:cs="Arial"/>
        </w:rPr>
      </w:pPr>
      <w:r>
        <w:rPr>
          <w:rFonts w:ascii="Arial" w:hAnsi="Arial" w:cs="Arial"/>
        </w:rPr>
        <w:br w:type="page"/>
      </w:r>
    </w:p>
    <w:p w14:paraId="19A2B20A" w14:textId="77777777" w:rsidR="00A76782" w:rsidRPr="007148A6" w:rsidRDefault="00A76782" w:rsidP="00A76782">
      <w:pPr>
        <w:spacing w:before="120" w:after="120"/>
        <w:jc w:val="both"/>
        <w:rPr>
          <w:rFonts w:ascii="Arial" w:hAnsi="Arial" w:cs="Arial"/>
        </w:rPr>
      </w:pPr>
    </w:p>
    <w:p w14:paraId="2B753A43" w14:textId="0CF9803A" w:rsidR="004D596E" w:rsidRPr="007148A6" w:rsidRDefault="004D596E" w:rsidP="004D596E">
      <w:pPr>
        <w:spacing w:before="120" w:after="120"/>
        <w:jc w:val="center"/>
        <w:rPr>
          <w:rFonts w:ascii="Arial" w:hAnsi="Arial" w:cs="Arial"/>
          <w:b/>
          <w:bCs/>
        </w:rPr>
      </w:pPr>
      <w:r w:rsidRPr="007148A6">
        <w:rPr>
          <w:rFonts w:ascii="Arial" w:hAnsi="Arial" w:cs="Arial"/>
          <w:b/>
          <w:bCs/>
        </w:rPr>
        <w:t>Cuadro 1 – Distribución Secundaria. Año 2019</w:t>
      </w:r>
    </w:p>
    <w:tbl>
      <w:tblPr>
        <w:tblW w:w="9486" w:type="dxa"/>
        <w:tblCellMar>
          <w:left w:w="70" w:type="dxa"/>
          <w:right w:w="70" w:type="dxa"/>
        </w:tblCellMar>
        <w:tblLook w:val="04A0" w:firstRow="1" w:lastRow="0" w:firstColumn="1" w:lastColumn="0" w:noHBand="0" w:noVBand="1"/>
      </w:tblPr>
      <w:tblGrid>
        <w:gridCol w:w="2117"/>
        <w:gridCol w:w="1252"/>
        <w:gridCol w:w="1425"/>
        <w:gridCol w:w="1197"/>
        <w:gridCol w:w="1096"/>
        <w:gridCol w:w="1197"/>
        <w:gridCol w:w="1096"/>
        <w:gridCol w:w="1197"/>
        <w:gridCol w:w="719"/>
      </w:tblGrid>
      <w:tr w:rsidR="004765BC" w:rsidRPr="007148A6" w14:paraId="75CEA85B" w14:textId="77777777" w:rsidTr="004860F2">
        <w:trPr>
          <w:trHeight w:val="300"/>
        </w:trPr>
        <w:tc>
          <w:tcPr>
            <w:tcW w:w="2117" w:type="dxa"/>
            <w:vMerge w:val="restart"/>
            <w:tcBorders>
              <w:top w:val="single" w:sz="8" w:space="0" w:color="auto"/>
              <w:left w:val="single" w:sz="8" w:space="0" w:color="auto"/>
              <w:bottom w:val="single" w:sz="8" w:space="0" w:color="000000"/>
              <w:right w:val="single" w:sz="4" w:space="0" w:color="auto"/>
            </w:tcBorders>
            <w:shd w:val="clear" w:color="auto" w:fill="E7E6E6" w:themeFill="background2"/>
            <w:vAlign w:val="center"/>
            <w:hideMark/>
          </w:tcPr>
          <w:p w14:paraId="43D7BE1D" w14:textId="77777777" w:rsidR="004D596E" w:rsidRPr="00B15674" w:rsidRDefault="004D596E" w:rsidP="005F479F">
            <w:pPr>
              <w:spacing w:after="0" w:line="240" w:lineRule="auto"/>
              <w:jc w:val="center"/>
              <w:rPr>
                <w:rFonts w:ascii="Arial" w:eastAsia="Times New Roman" w:hAnsi="Arial" w:cs="Arial"/>
                <w:b/>
                <w:bCs/>
                <w:color w:val="000000"/>
                <w:sz w:val="20"/>
                <w:szCs w:val="20"/>
                <w:lang w:eastAsia="es-AR"/>
              </w:rPr>
            </w:pPr>
            <w:r w:rsidRPr="00B15674">
              <w:rPr>
                <w:rFonts w:ascii="Arial" w:eastAsia="Times New Roman" w:hAnsi="Arial" w:cs="Arial"/>
                <w:b/>
                <w:bCs/>
                <w:color w:val="000000"/>
                <w:sz w:val="20"/>
                <w:szCs w:val="20"/>
                <w:lang w:eastAsia="es-AR"/>
              </w:rPr>
              <w:t>Ubicación</w:t>
            </w:r>
          </w:p>
          <w:p w14:paraId="46A53D2B" w14:textId="77777777" w:rsidR="004D596E" w:rsidRPr="00B15674" w:rsidRDefault="004D596E" w:rsidP="005F479F">
            <w:pPr>
              <w:spacing w:after="0" w:line="240" w:lineRule="auto"/>
              <w:jc w:val="center"/>
              <w:rPr>
                <w:rFonts w:ascii="Arial" w:eastAsia="Times New Roman" w:hAnsi="Arial" w:cs="Arial"/>
                <w:b/>
                <w:bCs/>
                <w:color w:val="000000"/>
                <w:sz w:val="20"/>
                <w:szCs w:val="20"/>
                <w:lang w:eastAsia="es-AR"/>
              </w:rPr>
            </w:pPr>
          </w:p>
        </w:tc>
        <w:tc>
          <w:tcPr>
            <w:tcW w:w="0" w:type="auto"/>
            <w:vMerge w:val="restart"/>
            <w:tcBorders>
              <w:top w:val="single" w:sz="8" w:space="0" w:color="auto"/>
              <w:left w:val="nil"/>
              <w:bottom w:val="single" w:sz="8" w:space="0" w:color="000000"/>
              <w:right w:val="single" w:sz="4" w:space="0" w:color="auto"/>
            </w:tcBorders>
            <w:shd w:val="clear" w:color="auto" w:fill="E7E6E6" w:themeFill="background2"/>
            <w:vAlign w:val="center"/>
            <w:hideMark/>
          </w:tcPr>
          <w:p w14:paraId="4C288445" w14:textId="77777777" w:rsidR="004D596E" w:rsidRPr="00B15674" w:rsidRDefault="004D596E" w:rsidP="005F479F">
            <w:pPr>
              <w:spacing w:after="0" w:line="240" w:lineRule="auto"/>
              <w:jc w:val="center"/>
              <w:rPr>
                <w:rFonts w:ascii="Arial" w:eastAsia="Times New Roman" w:hAnsi="Arial" w:cs="Arial"/>
                <w:b/>
                <w:bCs/>
                <w:color w:val="000000"/>
                <w:sz w:val="20"/>
                <w:szCs w:val="20"/>
                <w:lang w:eastAsia="es-AR"/>
              </w:rPr>
            </w:pPr>
            <w:r w:rsidRPr="00B15674">
              <w:rPr>
                <w:rFonts w:ascii="Arial" w:eastAsia="Times New Roman" w:hAnsi="Arial" w:cs="Arial"/>
                <w:b/>
                <w:bCs/>
                <w:color w:val="000000"/>
                <w:sz w:val="20"/>
                <w:szCs w:val="20"/>
                <w:lang w:eastAsia="es-AR"/>
              </w:rPr>
              <w:t>Población (estimación 2019)</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E7E6E6" w:themeFill="background2"/>
            <w:vAlign w:val="center"/>
            <w:hideMark/>
          </w:tcPr>
          <w:p w14:paraId="49672940" w14:textId="06E868DF" w:rsidR="004D596E" w:rsidRPr="00B15674" w:rsidRDefault="004D596E" w:rsidP="005F479F">
            <w:pPr>
              <w:spacing w:after="0" w:line="240" w:lineRule="auto"/>
              <w:jc w:val="center"/>
              <w:rPr>
                <w:rFonts w:ascii="Arial" w:eastAsia="Times New Roman" w:hAnsi="Arial" w:cs="Arial"/>
                <w:b/>
                <w:bCs/>
                <w:color w:val="000000"/>
                <w:sz w:val="20"/>
                <w:szCs w:val="20"/>
                <w:lang w:eastAsia="es-AR"/>
              </w:rPr>
            </w:pPr>
            <w:r w:rsidRPr="00B15674">
              <w:rPr>
                <w:rFonts w:ascii="Arial" w:eastAsia="Times New Roman" w:hAnsi="Arial" w:cs="Arial"/>
                <w:b/>
                <w:bCs/>
                <w:color w:val="000000"/>
                <w:sz w:val="20"/>
                <w:szCs w:val="20"/>
                <w:lang w:eastAsia="es-AR"/>
              </w:rPr>
              <w:t xml:space="preserve">Total </w:t>
            </w:r>
            <w:r w:rsidR="004765BC" w:rsidRPr="00B15674">
              <w:rPr>
                <w:rFonts w:ascii="Arial" w:eastAsia="Times New Roman" w:hAnsi="Arial" w:cs="Arial"/>
                <w:b/>
                <w:bCs/>
                <w:color w:val="000000"/>
                <w:sz w:val="20"/>
                <w:szCs w:val="20"/>
                <w:lang w:eastAsia="es-AR"/>
              </w:rPr>
              <w:t xml:space="preserve">de </w:t>
            </w:r>
            <w:r w:rsidRPr="00B15674">
              <w:rPr>
                <w:rFonts w:ascii="Arial" w:eastAsia="Times New Roman" w:hAnsi="Arial" w:cs="Arial"/>
                <w:b/>
                <w:bCs/>
                <w:color w:val="000000"/>
                <w:sz w:val="20"/>
                <w:szCs w:val="20"/>
                <w:lang w:eastAsia="es-AR"/>
              </w:rPr>
              <w:t>Recursos Nacionales (Distribución Bruta) -en millones-</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E7E6E6" w:themeFill="background2"/>
            <w:vAlign w:val="center"/>
            <w:hideMark/>
          </w:tcPr>
          <w:p w14:paraId="15A66275" w14:textId="77777777" w:rsidR="004D596E" w:rsidRPr="00B15674" w:rsidRDefault="004D596E" w:rsidP="005F479F">
            <w:pPr>
              <w:spacing w:after="0" w:line="240" w:lineRule="auto"/>
              <w:jc w:val="center"/>
              <w:rPr>
                <w:rFonts w:ascii="Arial" w:eastAsia="Times New Roman" w:hAnsi="Arial" w:cs="Arial"/>
                <w:b/>
                <w:bCs/>
                <w:color w:val="000000"/>
                <w:sz w:val="20"/>
                <w:szCs w:val="20"/>
                <w:lang w:eastAsia="es-AR"/>
              </w:rPr>
            </w:pPr>
            <w:r w:rsidRPr="00B15674">
              <w:rPr>
                <w:rFonts w:ascii="Arial" w:eastAsia="Times New Roman" w:hAnsi="Arial" w:cs="Arial"/>
                <w:b/>
                <w:bCs/>
                <w:color w:val="000000"/>
                <w:sz w:val="20"/>
                <w:szCs w:val="20"/>
                <w:lang w:eastAsia="es-AR"/>
              </w:rPr>
              <w:t>Recursos Nacionales per cápita</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E7E6E6" w:themeFill="background2"/>
            <w:vAlign w:val="center"/>
            <w:hideMark/>
          </w:tcPr>
          <w:p w14:paraId="2B1BCCB1" w14:textId="1EA362FC" w:rsidR="004D596E" w:rsidRPr="00B15674" w:rsidRDefault="004765BC" w:rsidP="005F479F">
            <w:pPr>
              <w:spacing w:after="0" w:line="240" w:lineRule="auto"/>
              <w:jc w:val="center"/>
              <w:rPr>
                <w:rFonts w:ascii="Arial" w:eastAsia="Times New Roman" w:hAnsi="Arial" w:cs="Arial"/>
                <w:b/>
                <w:bCs/>
                <w:color w:val="000000"/>
                <w:sz w:val="20"/>
                <w:szCs w:val="20"/>
                <w:lang w:eastAsia="es-AR"/>
              </w:rPr>
            </w:pPr>
            <w:r w:rsidRPr="00B15674">
              <w:rPr>
                <w:rFonts w:ascii="Arial" w:eastAsia="Times New Roman" w:hAnsi="Arial" w:cs="Arial"/>
                <w:b/>
                <w:bCs/>
                <w:color w:val="000000"/>
                <w:sz w:val="20"/>
                <w:szCs w:val="20"/>
                <w:lang w:eastAsia="es-AR"/>
              </w:rPr>
              <w:t>Población en</w:t>
            </w:r>
            <w:r w:rsidR="004D596E" w:rsidRPr="00B15674">
              <w:rPr>
                <w:rFonts w:ascii="Arial" w:eastAsia="Times New Roman" w:hAnsi="Arial" w:cs="Arial"/>
                <w:b/>
                <w:bCs/>
                <w:color w:val="000000"/>
                <w:sz w:val="20"/>
                <w:szCs w:val="20"/>
                <w:lang w:eastAsia="es-AR"/>
              </w:rPr>
              <w:t xml:space="preserve"> %</w:t>
            </w:r>
          </w:p>
        </w:tc>
        <w:tc>
          <w:tcPr>
            <w:tcW w:w="0" w:type="auto"/>
            <w:vMerge w:val="restart"/>
            <w:tcBorders>
              <w:top w:val="single" w:sz="8" w:space="0" w:color="auto"/>
              <w:left w:val="single" w:sz="4" w:space="0" w:color="auto"/>
              <w:bottom w:val="single" w:sz="8" w:space="0" w:color="000000"/>
              <w:right w:val="nil"/>
            </w:tcBorders>
            <w:shd w:val="clear" w:color="auto" w:fill="E7E6E6" w:themeFill="background2"/>
            <w:vAlign w:val="center"/>
            <w:hideMark/>
          </w:tcPr>
          <w:p w14:paraId="64885FE4" w14:textId="77777777" w:rsidR="004D596E" w:rsidRPr="00B15674" w:rsidRDefault="004D596E" w:rsidP="005F479F">
            <w:pPr>
              <w:spacing w:after="0" w:line="240" w:lineRule="auto"/>
              <w:jc w:val="center"/>
              <w:rPr>
                <w:rFonts w:ascii="Arial" w:eastAsia="Times New Roman" w:hAnsi="Arial" w:cs="Arial"/>
                <w:b/>
                <w:bCs/>
                <w:color w:val="000000"/>
                <w:sz w:val="20"/>
                <w:szCs w:val="20"/>
                <w:lang w:eastAsia="es-AR"/>
              </w:rPr>
            </w:pPr>
            <w:r w:rsidRPr="00B15674">
              <w:rPr>
                <w:rFonts w:ascii="Arial" w:eastAsia="Times New Roman" w:hAnsi="Arial" w:cs="Arial"/>
                <w:b/>
                <w:bCs/>
                <w:color w:val="000000"/>
                <w:sz w:val="20"/>
                <w:szCs w:val="20"/>
                <w:lang w:eastAsia="es-AR"/>
              </w:rPr>
              <w:t>Total de Recursos Nacionales en %</w:t>
            </w:r>
          </w:p>
        </w:tc>
        <w:tc>
          <w:tcPr>
            <w:tcW w:w="0" w:type="auto"/>
            <w:gridSpan w:val="3"/>
            <w:tcBorders>
              <w:top w:val="single" w:sz="8" w:space="0" w:color="auto"/>
              <w:left w:val="single" w:sz="4" w:space="0" w:color="auto"/>
              <w:bottom w:val="single" w:sz="4" w:space="0" w:color="auto"/>
              <w:right w:val="single" w:sz="8" w:space="0" w:color="000000"/>
            </w:tcBorders>
            <w:shd w:val="clear" w:color="auto" w:fill="E7E6E6" w:themeFill="background2"/>
            <w:noWrap/>
            <w:vAlign w:val="bottom"/>
            <w:hideMark/>
          </w:tcPr>
          <w:p w14:paraId="5ED39381"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Posición Relativa</w:t>
            </w:r>
          </w:p>
        </w:tc>
      </w:tr>
      <w:tr w:rsidR="004765BC" w:rsidRPr="007148A6" w14:paraId="6B33D9C5" w14:textId="77777777" w:rsidTr="004860F2">
        <w:trPr>
          <w:trHeight w:val="915"/>
        </w:trPr>
        <w:tc>
          <w:tcPr>
            <w:tcW w:w="2117" w:type="dxa"/>
            <w:vMerge/>
            <w:tcBorders>
              <w:top w:val="single" w:sz="8" w:space="0" w:color="auto"/>
              <w:left w:val="single" w:sz="8" w:space="0" w:color="auto"/>
              <w:bottom w:val="single" w:sz="8" w:space="0" w:color="000000"/>
              <w:right w:val="single" w:sz="4" w:space="0" w:color="auto"/>
            </w:tcBorders>
            <w:shd w:val="clear" w:color="auto" w:fill="E7E6E6" w:themeFill="background2"/>
            <w:vAlign w:val="center"/>
            <w:hideMark/>
          </w:tcPr>
          <w:p w14:paraId="141DABDD" w14:textId="77777777" w:rsidR="004D596E" w:rsidRPr="00B15674" w:rsidRDefault="004D596E" w:rsidP="005F479F">
            <w:pPr>
              <w:spacing w:after="0" w:line="240" w:lineRule="auto"/>
              <w:rPr>
                <w:rFonts w:ascii="Arial" w:eastAsia="Times New Roman" w:hAnsi="Arial" w:cs="Arial"/>
                <w:b/>
                <w:bCs/>
                <w:color w:val="000000"/>
                <w:sz w:val="20"/>
                <w:szCs w:val="20"/>
                <w:lang w:eastAsia="es-AR"/>
              </w:rPr>
            </w:pPr>
          </w:p>
        </w:tc>
        <w:tc>
          <w:tcPr>
            <w:tcW w:w="0" w:type="auto"/>
            <w:vMerge/>
            <w:tcBorders>
              <w:top w:val="single" w:sz="8" w:space="0" w:color="auto"/>
              <w:left w:val="nil"/>
              <w:bottom w:val="single" w:sz="8" w:space="0" w:color="000000"/>
              <w:right w:val="single" w:sz="4" w:space="0" w:color="auto"/>
            </w:tcBorders>
            <w:shd w:val="clear" w:color="auto" w:fill="E7E6E6" w:themeFill="background2"/>
            <w:vAlign w:val="center"/>
            <w:hideMark/>
          </w:tcPr>
          <w:p w14:paraId="5156FA0D" w14:textId="77777777" w:rsidR="004D596E" w:rsidRPr="00B15674" w:rsidRDefault="004D596E" w:rsidP="005F479F">
            <w:pPr>
              <w:spacing w:after="0" w:line="240" w:lineRule="auto"/>
              <w:rPr>
                <w:rFonts w:ascii="Arial" w:eastAsia="Times New Roman" w:hAnsi="Arial" w:cs="Arial"/>
                <w:b/>
                <w:bCs/>
                <w:color w:val="000000"/>
                <w:sz w:val="20"/>
                <w:szCs w:val="20"/>
                <w:lang w:eastAsia="es-AR"/>
              </w:rPr>
            </w:pPr>
          </w:p>
        </w:tc>
        <w:tc>
          <w:tcPr>
            <w:tcW w:w="0" w:type="auto"/>
            <w:vMerge/>
            <w:tcBorders>
              <w:top w:val="single" w:sz="8" w:space="0" w:color="auto"/>
              <w:left w:val="single" w:sz="4" w:space="0" w:color="auto"/>
              <w:bottom w:val="single" w:sz="8" w:space="0" w:color="000000"/>
              <w:right w:val="single" w:sz="4" w:space="0" w:color="auto"/>
            </w:tcBorders>
            <w:shd w:val="clear" w:color="auto" w:fill="E7E6E6" w:themeFill="background2"/>
            <w:vAlign w:val="center"/>
            <w:hideMark/>
          </w:tcPr>
          <w:p w14:paraId="10C3AA7A" w14:textId="77777777" w:rsidR="004D596E" w:rsidRPr="00B15674" w:rsidRDefault="004D596E" w:rsidP="005F479F">
            <w:pPr>
              <w:spacing w:after="0" w:line="240" w:lineRule="auto"/>
              <w:rPr>
                <w:rFonts w:ascii="Arial" w:eastAsia="Times New Roman" w:hAnsi="Arial" w:cs="Arial"/>
                <w:b/>
                <w:bCs/>
                <w:color w:val="000000"/>
                <w:sz w:val="20"/>
                <w:szCs w:val="20"/>
                <w:lang w:eastAsia="es-AR"/>
              </w:rPr>
            </w:pPr>
          </w:p>
        </w:tc>
        <w:tc>
          <w:tcPr>
            <w:tcW w:w="0" w:type="auto"/>
            <w:vMerge/>
            <w:tcBorders>
              <w:top w:val="single" w:sz="8" w:space="0" w:color="auto"/>
              <w:left w:val="single" w:sz="4" w:space="0" w:color="auto"/>
              <w:bottom w:val="single" w:sz="8" w:space="0" w:color="000000"/>
              <w:right w:val="single" w:sz="4" w:space="0" w:color="auto"/>
            </w:tcBorders>
            <w:shd w:val="clear" w:color="auto" w:fill="E7E6E6" w:themeFill="background2"/>
            <w:vAlign w:val="center"/>
            <w:hideMark/>
          </w:tcPr>
          <w:p w14:paraId="3D6FD76C" w14:textId="77777777" w:rsidR="004D596E" w:rsidRPr="00B15674" w:rsidRDefault="004D596E" w:rsidP="005F479F">
            <w:pPr>
              <w:spacing w:after="0" w:line="240" w:lineRule="auto"/>
              <w:rPr>
                <w:rFonts w:ascii="Arial" w:eastAsia="Times New Roman" w:hAnsi="Arial" w:cs="Arial"/>
                <w:b/>
                <w:bCs/>
                <w:color w:val="000000"/>
                <w:sz w:val="20"/>
                <w:szCs w:val="20"/>
                <w:lang w:eastAsia="es-AR"/>
              </w:rPr>
            </w:pPr>
          </w:p>
        </w:tc>
        <w:tc>
          <w:tcPr>
            <w:tcW w:w="0" w:type="auto"/>
            <w:vMerge/>
            <w:tcBorders>
              <w:top w:val="single" w:sz="8" w:space="0" w:color="auto"/>
              <w:left w:val="single" w:sz="4" w:space="0" w:color="auto"/>
              <w:bottom w:val="single" w:sz="8" w:space="0" w:color="000000"/>
              <w:right w:val="single" w:sz="4" w:space="0" w:color="auto"/>
            </w:tcBorders>
            <w:shd w:val="clear" w:color="auto" w:fill="E7E6E6" w:themeFill="background2"/>
            <w:vAlign w:val="center"/>
            <w:hideMark/>
          </w:tcPr>
          <w:p w14:paraId="06A8208E" w14:textId="77777777" w:rsidR="004D596E" w:rsidRPr="00B15674" w:rsidRDefault="004D596E" w:rsidP="005F479F">
            <w:pPr>
              <w:spacing w:after="0" w:line="240" w:lineRule="auto"/>
              <w:rPr>
                <w:rFonts w:ascii="Arial" w:eastAsia="Times New Roman" w:hAnsi="Arial" w:cs="Arial"/>
                <w:b/>
                <w:bCs/>
                <w:color w:val="000000"/>
                <w:sz w:val="20"/>
                <w:szCs w:val="20"/>
                <w:lang w:eastAsia="es-AR"/>
              </w:rPr>
            </w:pPr>
          </w:p>
        </w:tc>
        <w:tc>
          <w:tcPr>
            <w:tcW w:w="0" w:type="auto"/>
            <w:vMerge/>
            <w:tcBorders>
              <w:top w:val="single" w:sz="8" w:space="0" w:color="auto"/>
              <w:left w:val="single" w:sz="4" w:space="0" w:color="auto"/>
              <w:bottom w:val="single" w:sz="8" w:space="0" w:color="000000"/>
              <w:right w:val="nil"/>
            </w:tcBorders>
            <w:shd w:val="clear" w:color="auto" w:fill="E7E6E6" w:themeFill="background2"/>
            <w:vAlign w:val="center"/>
            <w:hideMark/>
          </w:tcPr>
          <w:p w14:paraId="7AF5A4A6" w14:textId="77777777" w:rsidR="004D596E" w:rsidRPr="00B15674" w:rsidRDefault="004D596E" w:rsidP="005F479F">
            <w:pPr>
              <w:spacing w:after="0" w:line="240" w:lineRule="auto"/>
              <w:rPr>
                <w:rFonts w:ascii="Arial" w:eastAsia="Times New Roman" w:hAnsi="Arial" w:cs="Arial"/>
                <w:b/>
                <w:bCs/>
                <w:color w:val="000000"/>
                <w:sz w:val="20"/>
                <w:szCs w:val="20"/>
                <w:lang w:eastAsia="es-AR"/>
              </w:rPr>
            </w:pPr>
          </w:p>
        </w:tc>
        <w:tc>
          <w:tcPr>
            <w:tcW w:w="0" w:type="auto"/>
            <w:tcBorders>
              <w:top w:val="nil"/>
              <w:left w:val="single" w:sz="4" w:space="0" w:color="auto"/>
              <w:bottom w:val="single" w:sz="8" w:space="0" w:color="auto"/>
              <w:right w:val="single" w:sz="4" w:space="0" w:color="auto"/>
            </w:tcBorders>
            <w:shd w:val="clear" w:color="auto" w:fill="E7E6E6" w:themeFill="background2"/>
            <w:hideMark/>
          </w:tcPr>
          <w:p w14:paraId="3CBA75EE" w14:textId="77777777" w:rsidR="004D596E" w:rsidRPr="00B15674" w:rsidRDefault="004D596E" w:rsidP="005F479F">
            <w:pPr>
              <w:spacing w:after="0" w:line="240" w:lineRule="auto"/>
              <w:jc w:val="center"/>
              <w:rPr>
                <w:rFonts w:ascii="Arial" w:eastAsia="Times New Roman" w:hAnsi="Arial" w:cs="Arial"/>
                <w:b/>
                <w:bCs/>
                <w:color w:val="000000"/>
                <w:sz w:val="20"/>
                <w:szCs w:val="20"/>
                <w:lang w:eastAsia="es-AR"/>
              </w:rPr>
            </w:pPr>
            <w:r w:rsidRPr="00B15674">
              <w:rPr>
                <w:rFonts w:ascii="Arial" w:eastAsia="Times New Roman" w:hAnsi="Arial" w:cs="Arial"/>
                <w:b/>
                <w:bCs/>
                <w:color w:val="000000"/>
                <w:sz w:val="20"/>
                <w:szCs w:val="20"/>
                <w:lang w:eastAsia="es-AR"/>
              </w:rPr>
              <w:t>Población</w:t>
            </w:r>
          </w:p>
        </w:tc>
        <w:tc>
          <w:tcPr>
            <w:tcW w:w="0" w:type="auto"/>
            <w:tcBorders>
              <w:top w:val="nil"/>
              <w:left w:val="single" w:sz="4" w:space="0" w:color="auto"/>
              <w:bottom w:val="single" w:sz="8" w:space="0" w:color="auto"/>
              <w:right w:val="single" w:sz="4" w:space="0" w:color="auto"/>
            </w:tcBorders>
            <w:shd w:val="clear" w:color="auto" w:fill="E7E6E6" w:themeFill="background2"/>
            <w:hideMark/>
          </w:tcPr>
          <w:p w14:paraId="584B0E97" w14:textId="77777777" w:rsidR="004D596E" w:rsidRPr="00B15674" w:rsidRDefault="004D596E" w:rsidP="005F479F">
            <w:pPr>
              <w:spacing w:after="0" w:line="240" w:lineRule="auto"/>
              <w:jc w:val="center"/>
              <w:rPr>
                <w:rFonts w:ascii="Arial" w:eastAsia="Times New Roman" w:hAnsi="Arial" w:cs="Arial"/>
                <w:b/>
                <w:bCs/>
                <w:color w:val="000000"/>
                <w:sz w:val="20"/>
                <w:szCs w:val="20"/>
                <w:lang w:eastAsia="es-AR"/>
              </w:rPr>
            </w:pPr>
            <w:r w:rsidRPr="00B15674">
              <w:rPr>
                <w:rFonts w:ascii="Arial" w:eastAsia="Times New Roman" w:hAnsi="Arial" w:cs="Arial"/>
                <w:b/>
                <w:bCs/>
                <w:color w:val="000000"/>
                <w:sz w:val="20"/>
                <w:szCs w:val="20"/>
                <w:lang w:eastAsia="es-AR"/>
              </w:rPr>
              <w:t>Total Recursos Nacionales</w:t>
            </w:r>
          </w:p>
        </w:tc>
        <w:tc>
          <w:tcPr>
            <w:tcW w:w="0" w:type="auto"/>
            <w:tcBorders>
              <w:top w:val="nil"/>
              <w:left w:val="single" w:sz="4" w:space="0" w:color="auto"/>
              <w:bottom w:val="single" w:sz="8" w:space="0" w:color="auto"/>
              <w:right w:val="single" w:sz="8" w:space="0" w:color="auto"/>
            </w:tcBorders>
            <w:shd w:val="clear" w:color="auto" w:fill="E7E6E6" w:themeFill="background2"/>
            <w:hideMark/>
          </w:tcPr>
          <w:p w14:paraId="527B9C9B" w14:textId="77777777" w:rsidR="004D596E" w:rsidRPr="00B15674" w:rsidRDefault="004D596E" w:rsidP="005F479F">
            <w:pPr>
              <w:spacing w:after="0" w:line="240" w:lineRule="auto"/>
              <w:jc w:val="center"/>
              <w:rPr>
                <w:rFonts w:ascii="Arial" w:eastAsia="Times New Roman" w:hAnsi="Arial" w:cs="Arial"/>
                <w:b/>
                <w:bCs/>
                <w:color w:val="000000"/>
                <w:sz w:val="20"/>
                <w:szCs w:val="20"/>
                <w:lang w:eastAsia="es-AR"/>
              </w:rPr>
            </w:pPr>
            <w:r w:rsidRPr="00B15674">
              <w:rPr>
                <w:rFonts w:ascii="Arial" w:eastAsia="Times New Roman" w:hAnsi="Arial" w:cs="Arial"/>
                <w:b/>
                <w:bCs/>
                <w:color w:val="000000"/>
                <w:sz w:val="20"/>
                <w:szCs w:val="20"/>
                <w:lang w:eastAsia="es-AR"/>
              </w:rPr>
              <w:t>RN per cápita</w:t>
            </w:r>
          </w:p>
        </w:tc>
      </w:tr>
      <w:tr w:rsidR="004D596E" w:rsidRPr="007148A6" w14:paraId="62740EAB" w14:textId="77777777" w:rsidTr="004860F2">
        <w:trPr>
          <w:trHeight w:val="300"/>
        </w:trPr>
        <w:tc>
          <w:tcPr>
            <w:tcW w:w="2117" w:type="dxa"/>
            <w:tcBorders>
              <w:top w:val="nil"/>
              <w:left w:val="single" w:sz="8" w:space="0" w:color="auto"/>
              <w:bottom w:val="nil"/>
              <w:right w:val="single" w:sz="4" w:space="0" w:color="auto"/>
            </w:tcBorders>
            <w:shd w:val="clear" w:color="auto" w:fill="E7E6E6" w:themeFill="background2"/>
            <w:noWrap/>
            <w:vAlign w:val="bottom"/>
            <w:hideMark/>
          </w:tcPr>
          <w:p w14:paraId="3F36573F" w14:textId="77777777" w:rsidR="004D596E" w:rsidRPr="00B15674" w:rsidRDefault="004D596E" w:rsidP="005F479F">
            <w:pPr>
              <w:spacing w:after="0" w:line="240" w:lineRule="auto"/>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BUENOS AIRES</w:t>
            </w:r>
          </w:p>
        </w:tc>
        <w:tc>
          <w:tcPr>
            <w:tcW w:w="0" w:type="auto"/>
            <w:tcBorders>
              <w:top w:val="nil"/>
              <w:left w:val="nil"/>
              <w:bottom w:val="nil"/>
              <w:right w:val="single" w:sz="4" w:space="0" w:color="auto"/>
            </w:tcBorders>
            <w:shd w:val="clear" w:color="auto" w:fill="auto"/>
            <w:noWrap/>
            <w:vAlign w:val="bottom"/>
            <w:hideMark/>
          </w:tcPr>
          <w:p w14:paraId="22BDEF52"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17.370.144</w:t>
            </w:r>
          </w:p>
        </w:tc>
        <w:tc>
          <w:tcPr>
            <w:tcW w:w="0" w:type="auto"/>
            <w:tcBorders>
              <w:top w:val="nil"/>
              <w:left w:val="single" w:sz="4" w:space="0" w:color="auto"/>
              <w:bottom w:val="nil"/>
              <w:right w:val="single" w:sz="4" w:space="0" w:color="auto"/>
            </w:tcBorders>
            <w:shd w:val="clear" w:color="auto" w:fill="auto"/>
            <w:noWrap/>
            <w:vAlign w:val="bottom"/>
            <w:hideMark/>
          </w:tcPr>
          <w:p w14:paraId="6B92D1B0"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316.842,07</w:t>
            </w:r>
          </w:p>
        </w:tc>
        <w:tc>
          <w:tcPr>
            <w:tcW w:w="0" w:type="auto"/>
            <w:tcBorders>
              <w:top w:val="nil"/>
              <w:left w:val="single" w:sz="4" w:space="0" w:color="auto"/>
              <w:bottom w:val="nil"/>
              <w:right w:val="single" w:sz="4" w:space="0" w:color="auto"/>
            </w:tcBorders>
            <w:shd w:val="clear" w:color="auto" w:fill="auto"/>
            <w:noWrap/>
            <w:vAlign w:val="bottom"/>
            <w:hideMark/>
          </w:tcPr>
          <w:p w14:paraId="7A832FEA"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18.241</w:t>
            </w:r>
          </w:p>
        </w:tc>
        <w:tc>
          <w:tcPr>
            <w:tcW w:w="0" w:type="auto"/>
            <w:tcBorders>
              <w:top w:val="nil"/>
              <w:left w:val="single" w:sz="4" w:space="0" w:color="auto"/>
              <w:bottom w:val="nil"/>
              <w:right w:val="single" w:sz="4" w:space="0" w:color="auto"/>
            </w:tcBorders>
            <w:shd w:val="clear" w:color="auto" w:fill="auto"/>
            <w:noWrap/>
            <w:vAlign w:val="bottom"/>
            <w:hideMark/>
          </w:tcPr>
          <w:p w14:paraId="15D22244"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38,65%</w:t>
            </w:r>
          </w:p>
        </w:tc>
        <w:tc>
          <w:tcPr>
            <w:tcW w:w="0" w:type="auto"/>
            <w:tcBorders>
              <w:top w:val="nil"/>
              <w:left w:val="single" w:sz="4" w:space="0" w:color="auto"/>
              <w:bottom w:val="nil"/>
              <w:right w:val="nil"/>
            </w:tcBorders>
            <w:shd w:val="clear" w:color="auto" w:fill="auto"/>
            <w:noWrap/>
            <w:vAlign w:val="bottom"/>
            <w:hideMark/>
          </w:tcPr>
          <w:p w14:paraId="397940BA"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20,48%</w:t>
            </w:r>
          </w:p>
        </w:tc>
        <w:tc>
          <w:tcPr>
            <w:tcW w:w="0" w:type="auto"/>
            <w:tcBorders>
              <w:top w:val="nil"/>
              <w:left w:val="single" w:sz="4" w:space="0" w:color="auto"/>
              <w:bottom w:val="nil"/>
              <w:right w:val="single" w:sz="4" w:space="0" w:color="auto"/>
            </w:tcBorders>
            <w:shd w:val="clear" w:color="auto" w:fill="auto"/>
            <w:noWrap/>
            <w:vAlign w:val="bottom"/>
            <w:hideMark/>
          </w:tcPr>
          <w:p w14:paraId="7BB4F7FB"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w:t>
            </w:r>
          </w:p>
        </w:tc>
        <w:tc>
          <w:tcPr>
            <w:tcW w:w="0" w:type="auto"/>
            <w:tcBorders>
              <w:top w:val="nil"/>
              <w:left w:val="single" w:sz="4" w:space="0" w:color="auto"/>
              <w:bottom w:val="nil"/>
              <w:right w:val="single" w:sz="4" w:space="0" w:color="auto"/>
            </w:tcBorders>
            <w:shd w:val="clear" w:color="auto" w:fill="auto"/>
            <w:noWrap/>
            <w:vAlign w:val="bottom"/>
            <w:hideMark/>
          </w:tcPr>
          <w:p w14:paraId="689A6545"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w:t>
            </w:r>
          </w:p>
        </w:tc>
        <w:tc>
          <w:tcPr>
            <w:tcW w:w="0" w:type="auto"/>
            <w:tcBorders>
              <w:top w:val="nil"/>
              <w:left w:val="single" w:sz="4" w:space="0" w:color="auto"/>
              <w:bottom w:val="nil"/>
              <w:right w:val="single" w:sz="8" w:space="0" w:color="auto"/>
            </w:tcBorders>
            <w:shd w:val="clear" w:color="auto" w:fill="auto"/>
            <w:noWrap/>
            <w:vAlign w:val="bottom"/>
            <w:hideMark/>
          </w:tcPr>
          <w:p w14:paraId="062C0979"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24</w:t>
            </w:r>
          </w:p>
        </w:tc>
      </w:tr>
      <w:tr w:rsidR="004D596E" w:rsidRPr="007148A6" w14:paraId="04906F37" w14:textId="77777777" w:rsidTr="004860F2">
        <w:trPr>
          <w:trHeight w:val="300"/>
        </w:trPr>
        <w:tc>
          <w:tcPr>
            <w:tcW w:w="2117" w:type="dxa"/>
            <w:tcBorders>
              <w:top w:val="nil"/>
              <w:left w:val="single" w:sz="8" w:space="0" w:color="auto"/>
              <w:bottom w:val="nil"/>
              <w:right w:val="single" w:sz="4" w:space="0" w:color="auto"/>
            </w:tcBorders>
            <w:shd w:val="clear" w:color="auto" w:fill="E7E6E6" w:themeFill="background2"/>
            <w:noWrap/>
            <w:vAlign w:val="bottom"/>
            <w:hideMark/>
          </w:tcPr>
          <w:p w14:paraId="19639A4E" w14:textId="77777777" w:rsidR="004D596E" w:rsidRPr="00B15674" w:rsidRDefault="004D596E" w:rsidP="005F479F">
            <w:pPr>
              <w:spacing w:after="0" w:line="240" w:lineRule="auto"/>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CABA</w:t>
            </w:r>
          </w:p>
        </w:tc>
        <w:tc>
          <w:tcPr>
            <w:tcW w:w="0" w:type="auto"/>
            <w:tcBorders>
              <w:top w:val="nil"/>
              <w:left w:val="nil"/>
              <w:bottom w:val="nil"/>
              <w:right w:val="single" w:sz="4" w:space="0" w:color="auto"/>
            </w:tcBorders>
            <w:shd w:val="clear" w:color="auto" w:fill="auto"/>
            <w:noWrap/>
            <w:vAlign w:val="bottom"/>
            <w:hideMark/>
          </w:tcPr>
          <w:p w14:paraId="1D235032"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3.072.029</w:t>
            </w:r>
          </w:p>
        </w:tc>
        <w:tc>
          <w:tcPr>
            <w:tcW w:w="0" w:type="auto"/>
            <w:tcBorders>
              <w:top w:val="nil"/>
              <w:left w:val="single" w:sz="4" w:space="0" w:color="auto"/>
              <w:bottom w:val="nil"/>
              <w:right w:val="single" w:sz="4" w:space="0" w:color="auto"/>
            </w:tcBorders>
            <w:shd w:val="clear" w:color="auto" w:fill="auto"/>
            <w:noWrap/>
            <w:vAlign w:val="bottom"/>
            <w:hideMark/>
          </w:tcPr>
          <w:p w14:paraId="6EC847EE"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84.554,35</w:t>
            </w:r>
          </w:p>
        </w:tc>
        <w:tc>
          <w:tcPr>
            <w:tcW w:w="0" w:type="auto"/>
            <w:tcBorders>
              <w:top w:val="nil"/>
              <w:left w:val="single" w:sz="4" w:space="0" w:color="auto"/>
              <w:bottom w:val="nil"/>
              <w:right w:val="single" w:sz="4" w:space="0" w:color="auto"/>
            </w:tcBorders>
            <w:shd w:val="clear" w:color="auto" w:fill="auto"/>
            <w:noWrap/>
            <w:vAlign w:val="bottom"/>
            <w:hideMark/>
          </w:tcPr>
          <w:p w14:paraId="147C7764"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27.524</w:t>
            </w:r>
          </w:p>
        </w:tc>
        <w:tc>
          <w:tcPr>
            <w:tcW w:w="0" w:type="auto"/>
            <w:tcBorders>
              <w:top w:val="nil"/>
              <w:left w:val="single" w:sz="4" w:space="0" w:color="auto"/>
              <w:bottom w:val="nil"/>
              <w:right w:val="single" w:sz="4" w:space="0" w:color="auto"/>
            </w:tcBorders>
            <w:shd w:val="clear" w:color="auto" w:fill="auto"/>
            <w:noWrap/>
            <w:vAlign w:val="bottom"/>
            <w:hideMark/>
          </w:tcPr>
          <w:p w14:paraId="05FCE99C"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6,84%</w:t>
            </w:r>
          </w:p>
        </w:tc>
        <w:tc>
          <w:tcPr>
            <w:tcW w:w="0" w:type="auto"/>
            <w:tcBorders>
              <w:top w:val="nil"/>
              <w:left w:val="single" w:sz="4" w:space="0" w:color="auto"/>
              <w:bottom w:val="nil"/>
              <w:right w:val="nil"/>
            </w:tcBorders>
            <w:shd w:val="clear" w:color="auto" w:fill="auto"/>
            <w:noWrap/>
            <w:vAlign w:val="bottom"/>
            <w:hideMark/>
          </w:tcPr>
          <w:p w14:paraId="529AB494"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5,47%</w:t>
            </w:r>
          </w:p>
        </w:tc>
        <w:tc>
          <w:tcPr>
            <w:tcW w:w="0" w:type="auto"/>
            <w:tcBorders>
              <w:top w:val="nil"/>
              <w:left w:val="single" w:sz="4" w:space="0" w:color="auto"/>
              <w:bottom w:val="nil"/>
              <w:right w:val="single" w:sz="4" w:space="0" w:color="auto"/>
            </w:tcBorders>
            <w:shd w:val="clear" w:color="auto" w:fill="auto"/>
            <w:noWrap/>
            <w:vAlign w:val="bottom"/>
            <w:hideMark/>
          </w:tcPr>
          <w:p w14:paraId="140E605E"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4</w:t>
            </w:r>
          </w:p>
        </w:tc>
        <w:tc>
          <w:tcPr>
            <w:tcW w:w="0" w:type="auto"/>
            <w:tcBorders>
              <w:top w:val="nil"/>
              <w:left w:val="single" w:sz="4" w:space="0" w:color="auto"/>
              <w:bottom w:val="nil"/>
              <w:right w:val="single" w:sz="4" w:space="0" w:color="auto"/>
            </w:tcBorders>
            <w:shd w:val="clear" w:color="auto" w:fill="auto"/>
            <w:noWrap/>
            <w:vAlign w:val="bottom"/>
            <w:hideMark/>
          </w:tcPr>
          <w:p w14:paraId="0693BE62"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4</w:t>
            </w:r>
          </w:p>
        </w:tc>
        <w:tc>
          <w:tcPr>
            <w:tcW w:w="0" w:type="auto"/>
            <w:tcBorders>
              <w:top w:val="nil"/>
              <w:left w:val="single" w:sz="4" w:space="0" w:color="auto"/>
              <w:bottom w:val="nil"/>
              <w:right w:val="single" w:sz="8" w:space="0" w:color="auto"/>
            </w:tcBorders>
            <w:shd w:val="clear" w:color="auto" w:fill="auto"/>
            <w:noWrap/>
            <w:vAlign w:val="bottom"/>
            <w:hideMark/>
          </w:tcPr>
          <w:p w14:paraId="6CFB6CF9"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23</w:t>
            </w:r>
          </w:p>
        </w:tc>
      </w:tr>
      <w:tr w:rsidR="004D596E" w:rsidRPr="007148A6" w14:paraId="519282D7" w14:textId="77777777" w:rsidTr="004860F2">
        <w:trPr>
          <w:trHeight w:val="300"/>
        </w:trPr>
        <w:tc>
          <w:tcPr>
            <w:tcW w:w="2117" w:type="dxa"/>
            <w:tcBorders>
              <w:top w:val="nil"/>
              <w:left w:val="single" w:sz="8" w:space="0" w:color="auto"/>
              <w:bottom w:val="nil"/>
              <w:right w:val="single" w:sz="4" w:space="0" w:color="auto"/>
            </w:tcBorders>
            <w:shd w:val="clear" w:color="auto" w:fill="E7E6E6" w:themeFill="background2"/>
            <w:noWrap/>
            <w:vAlign w:val="bottom"/>
            <w:hideMark/>
          </w:tcPr>
          <w:p w14:paraId="3407540B" w14:textId="77777777" w:rsidR="004D596E" w:rsidRPr="00B15674" w:rsidRDefault="004D596E" w:rsidP="005F479F">
            <w:pPr>
              <w:spacing w:after="0" w:line="240" w:lineRule="auto"/>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CATAMARCA</w:t>
            </w:r>
          </w:p>
        </w:tc>
        <w:tc>
          <w:tcPr>
            <w:tcW w:w="0" w:type="auto"/>
            <w:tcBorders>
              <w:top w:val="nil"/>
              <w:left w:val="nil"/>
              <w:bottom w:val="nil"/>
              <w:right w:val="single" w:sz="4" w:space="0" w:color="auto"/>
            </w:tcBorders>
            <w:shd w:val="clear" w:color="auto" w:fill="auto"/>
            <w:noWrap/>
            <w:vAlign w:val="bottom"/>
            <w:hideMark/>
          </w:tcPr>
          <w:p w14:paraId="182FF347"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411.824</w:t>
            </w:r>
          </w:p>
        </w:tc>
        <w:tc>
          <w:tcPr>
            <w:tcW w:w="0" w:type="auto"/>
            <w:tcBorders>
              <w:top w:val="nil"/>
              <w:left w:val="single" w:sz="4" w:space="0" w:color="auto"/>
              <w:bottom w:val="nil"/>
              <w:right w:val="single" w:sz="4" w:space="0" w:color="auto"/>
            </w:tcBorders>
            <w:shd w:val="clear" w:color="auto" w:fill="auto"/>
            <w:noWrap/>
            <w:vAlign w:val="bottom"/>
            <w:hideMark/>
          </w:tcPr>
          <w:p w14:paraId="0294B700"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39.019,32</w:t>
            </w:r>
          </w:p>
        </w:tc>
        <w:tc>
          <w:tcPr>
            <w:tcW w:w="0" w:type="auto"/>
            <w:tcBorders>
              <w:top w:val="nil"/>
              <w:left w:val="single" w:sz="4" w:space="0" w:color="auto"/>
              <w:bottom w:val="nil"/>
              <w:right w:val="single" w:sz="4" w:space="0" w:color="auto"/>
            </w:tcBorders>
            <w:shd w:val="clear" w:color="auto" w:fill="auto"/>
            <w:noWrap/>
            <w:vAlign w:val="bottom"/>
            <w:hideMark/>
          </w:tcPr>
          <w:p w14:paraId="1E3D2410"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94.748</w:t>
            </w:r>
          </w:p>
        </w:tc>
        <w:tc>
          <w:tcPr>
            <w:tcW w:w="0" w:type="auto"/>
            <w:tcBorders>
              <w:top w:val="nil"/>
              <w:left w:val="single" w:sz="4" w:space="0" w:color="auto"/>
              <w:bottom w:val="nil"/>
              <w:right w:val="single" w:sz="4" w:space="0" w:color="auto"/>
            </w:tcBorders>
            <w:shd w:val="clear" w:color="auto" w:fill="auto"/>
            <w:noWrap/>
            <w:vAlign w:val="bottom"/>
            <w:hideMark/>
          </w:tcPr>
          <w:p w14:paraId="2A9D41F9"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0,92%</w:t>
            </w:r>
          </w:p>
        </w:tc>
        <w:tc>
          <w:tcPr>
            <w:tcW w:w="0" w:type="auto"/>
            <w:tcBorders>
              <w:top w:val="nil"/>
              <w:left w:val="single" w:sz="4" w:space="0" w:color="auto"/>
              <w:bottom w:val="nil"/>
              <w:right w:val="nil"/>
            </w:tcBorders>
            <w:shd w:val="clear" w:color="auto" w:fill="auto"/>
            <w:noWrap/>
            <w:vAlign w:val="bottom"/>
            <w:hideMark/>
          </w:tcPr>
          <w:p w14:paraId="6DF8B4DC"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2,52%</w:t>
            </w:r>
          </w:p>
        </w:tc>
        <w:tc>
          <w:tcPr>
            <w:tcW w:w="0" w:type="auto"/>
            <w:tcBorders>
              <w:top w:val="nil"/>
              <w:left w:val="single" w:sz="4" w:space="0" w:color="auto"/>
              <w:bottom w:val="nil"/>
              <w:right w:val="single" w:sz="4" w:space="0" w:color="auto"/>
            </w:tcBorders>
            <w:shd w:val="clear" w:color="auto" w:fill="auto"/>
            <w:noWrap/>
            <w:vAlign w:val="bottom"/>
            <w:hideMark/>
          </w:tcPr>
          <w:p w14:paraId="793F6018"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20</w:t>
            </w:r>
          </w:p>
        </w:tc>
        <w:tc>
          <w:tcPr>
            <w:tcW w:w="0" w:type="auto"/>
            <w:tcBorders>
              <w:top w:val="nil"/>
              <w:left w:val="single" w:sz="4" w:space="0" w:color="auto"/>
              <w:bottom w:val="nil"/>
              <w:right w:val="single" w:sz="4" w:space="0" w:color="auto"/>
            </w:tcBorders>
            <w:shd w:val="clear" w:color="auto" w:fill="auto"/>
            <w:noWrap/>
            <w:vAlign w:val="bottom"/>
            <w:hideMark/>
          </w:tcPr>
          <w:p w14:paraId="0F566272"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16</w:t>
            </w:r>
          </w:p>
        </w:tc>
        <w:tc>
          <w:tcPr>
            <w:tcW w:w="0" w:type="auto"/>
            <w:tcBorders>
              <w:top w:val="nil"/>
              <w:left w:val="single" w:sz="4" w:space="0" w:color="auto"/>
              <w:bottom w:val="nil"/>
              <w:right w:val="single" w:sz="8" w:space="0" w:color="auto"/>
            </w:tcBorders>
            <w:shd w:val="clear" w:color="auto" w:fill="auto"/>
            <w:noWrap/>
            <w:vAlign w:val="bottom"/>
            <w:hideMark/>
          </w:tcPr>
          <w:p w14:paraId="000B6E48"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2</w:t>
            </w:r>
          </w:p>
        </w:tc>
      </w:tr>
      <w:tr w:rsidR="004D596E" w:rsidRPr="007148A6" w14:paraId="4989CB95" w14:textId="77777777" w:rsidTr="004860F2">
        <w:trPr>
          <w:trHeight w:val="300"/>
        </w:trPr>
        <w:tc>
          <w:tcPr>
            <w:tcW w:w="2117" w:type="dxa"/>
            <w:tcBorders>
              <w:top w:val="nil"/>
              <w:left w:val="single" w:sz="8" w:space="0" w:color="auto"/>
              <w:bottom w:val="nil"/>
              <w:right w:val="single" w:sz="4" w:space="0" w:color="auto"/>
            </w:tcBorders>
            <w:shd w:val="clear" w:color="auto" w:fill="E7E6E6" w:themeFill="background2"/>
            <w:noWrap/>
            <w:vAlign w:val="bottom"/>
            <w:hideMark/>
          </w:tcPr>
          <w:p w14:paraId="7CB26545" w14:textId="77777777" w:rsidR="004D596E" w:rsidRPr="00B15674" w:rsidRDefault="004D596E" w:rsidP="005F479F">
            <w:pPr>
              <w:spacing w:after="0" w:line="240" w:lineRule="auto"/>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CHACO</w:t>
            </w:r>
          </w:p>
        </w:tc>
        <w:tc>
          <w:tcPr>
            <w:tcW w:w="0" w:type="auto"/>
            <w:tcBorders>
              <w:top w:val="nil"/>
              <w:left w:val="nil"/>
              <w:bottom w:val="nil"/>
              <w:right w:val="single" w:sz="4" w:space="0" w:color="auto"/>
            </w:tcBorders>
            <w:shd w:val="clear" w:color="auto" w:fill="auto"/>
            <w:noWrap/>
            <w:vAlign w:val="bottom"/>
            <w:hideMark/>
          </w:tcPr>
          <w:p w14:paraId="62E3F682"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1.192.616</w:t>
            </w:r>
          </w:p>
        </w:tc>
        <w:tc>
          <w:tcPr>
            <w:tcW w:w="0" w:type="auto"/>
            <w:tcBorders>
              <w:top w:val="nil"/>
              <w:left w:val="single" w:sz="4" w:space="0" w:color="auto"/>
              <w:bottom w:val="nil"/>
              <w:right w:val="single" w:sz="4" w:space="0" w:color="auto"/>
            </w:tcBorders>
            <w:shd w:val="clear" w:color="auto" w:fill="auto"/>
            <w:noWrap/>
            <w:vAlign w:val="bottom"/>
            <w:hideMark/>
          </w:tcPr>
          <w:p w14:paraId="5E74CF89"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71.270,42</w:t>
            </w:r>
          </w:p>
        </w:tc>
        <w:tc>
          <w:tcPr>
            <w:tcW w:w="0" w:type="auto"/>
            <w:tcBorders>
              <w:top w:val="nil"/>
              <w:left w:val="single" w:sz="4" w:space="0" w:color="auto"/>
              <w:bottom w:val="nil"/>
              <w:right w:val="single" w:sz="4" w:space="0" w:color="auto"/>
            </w:tcBorders>
            <w:shd w:val="clear" w:color="auto" w:fill="auto"/>
            <w:noWrap/>
            <w:vAlign w:val="bottom"/>
            <w:hideMark/>
          </w:tcPr>
          <w:p w14:paraId="424AB3B4"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59.760</w:t>
            </w:r>
          </w:p>
        </w:tc>
        <w:tc>
          <w:tcPr>
            <w:tcW w:w="0" w:type="auto"/>
            <w:tcBorders>
              <w:top w:val="nil"/>
              <w:left w:val="single" w:sz="4" w:space="0" w:color="auto"/>
              <w:bottom w:val="nil"/>
              <w:right w:val="single" w:sz="4" w:space="0" w:color="auto"/>
            </w:tcBorders>
            <w:shd w:val="clear" w:color="auto" w:fill="auto"/>
            <w:noWrap/>
            <w:vAlign w:val="bottom"/>
            <w:hideMark/>
          </w:tcPr>
          <w:p w14:paraId="46DCE0AC"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2,65%</w:t>
            </w:r>
          </w:p>
        </w:tc>
        <w:tc>
          <w:tcPr>
            <w:tcW w:w="0" w:type="auto"/>
            <w:tcBorders>
              <w:top w:val="nil"/>
              <w:left w:val="single" w:sz="4" w:space="0" w:color="auto"/>
              <w:bottom w:val="nil"/>
              <w:right w:val="nil"/>
            </w:tcBorders>
            <w:shd w:val="clear" w:color="auto" w:fill="auto"/>
            <w:noWrap/>
            <w:vAlign w:val="bottom"/>
            <w:hideMark/>
          </w:tcPr>
          <w:p w14:paraId="22A40FFC"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4,61%</w:t>
            </w:r>
          </w:p>
        </w:tc>
        <w:tc>
          <w:tcPr>
            <w:tcW w:w="0" w:type="auto"/>
            <w:tcBorders>
              <w:top w:val="nil"/>
              <w:left w:val="single" w:sz="4" w:space="0" w:color="auto"/>
              <w:bottom w:val="nil"/>
              <w:right w:val="single" w:sz="4" w:space="0" w:color="auto"/>
            </w:tcBorders>
            <w:shd w:val="clear" w:color="auto" w:fill="auto"/>
            <w:noWrap/>
            <w:vAlign w:val="bottom"/>
            <w:hideMark/>
          </w:tcPr>
          <w:p w14:paraId="0B0606CC"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10</w:t>
            </w:r>
          </w:p>
        </w:tc>
        <w:tc>
          <w:tcPr>
            <w:tcW w:w="0" w:type="auto"/>
            <w:tcBorders>
              <w:top w:val="nil"/>
              <w:left w:val="single" w:sz="4" w:space="0" w:color="auto"/>
              <w:bottom w:val="nil"/>
              <w:right w:val="single" w:sz="4" w:space="0" w:color="auto"/>
            </w:tcBorders>
            <w:shd w:val="clear" w:color="auto" w:fill="auto"/>
            <w:noWrap/>
            <w:vAlign w:val="bottom"/>
            <w:hideMark/>
          </w:tcPr>
          <w:p w14:paraId="013F8832"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5</w:t>
            </w:r>
          </w:p>
        </w:tc>
        <w:tc>
          <w:tcPr>
            <w:tcW w:w="0" w:type="auto"/>
            <w:tcBorders>
              <w:top w:val="nil"/>
              <w:left w:val="single" w:sz="4" w:space="0" w:color="auto"/>
              <w:bottom w:val="nil"/>
              <w:right w:val="single" w:sz="8" w:space="0" w:color="auto"/>
            </w:tcBorders>
            <w:shd w:val="clear" w:color="auto" w:fill="auto"/>
            <w:noWrap/>
            <w:vAlign w:val="bottom"/>
            <w:hideMark/>
          </w:tcPr>
          <w:p w14:paraId="7D588F99"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10</w:t>
            </w:r>
          </w:p>
        </w:tc>
      </w:tr>
      <w:tr w:rsidR="004D596E" w:rsidRPr="007148A6" w14:paraId="495CE4C1" w14:textId="77777777" w:rsidTr="004860F2">
        <w:trPr>
          <w:trHeight w:val="300"/>
        </w:trPr>
        <w:tc>
          <w:tcPr>
            <w:tcW w:w="2117" w:type="dxa"/>
            <w:tcBorders>
              <w:top w:val="nil"/>
              <w:left w:val="single" w:sz="8" w:space="0" w:color="auto"/>
              <w:bottom w:val="nil"/>
              <w:right w:val="single" w:sz="4" w:space="0" w:color="auto"/>
            </w:tcBorders>
            <w:shd w:val="clear" w:color="auto" w:fill="E7E6E6" w:themeFill="background2"/>
            <w:noWrap/>
            <w:vAlign w:val="bottom"/>
            <w:hideMark/>
          </w:tcPr>
          <w:p w14:paraId="4653E0D4" w14:textId="77777777" w:rsidR="004D596E" w:rsidRPr="00B15674" w:rsidRDefault="004D596E" w:rsidP="005F479F">
            <w:pPr>
              <w:spacing w:after="0" w:line="240" w:lineRule="auto"/>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CHUBUT</w:t>
            </w:r>
          </w:p>
        </w:tc>
        <w:tc>
          <w:tcPr>
            <w:tcW w:w="0" w:type="auto"/>
            <w:tcBorders>
              <w:top w:val="nil"/>
              <w:left w:val="nil"/>
              <w:bottom w:val="nil"/>
              <w:right w:val="single" w:sz="4" w:space="0" w:color="auto"/>
            </w:tcBorders>
            <w:shd w:val="clear" w:color="auto" w:fill="auto"/>
            <w:noWrap/>
            <w:vAlign w:val="bottom"/>
            <w:hideMark/>
          </w:tcPr>
          <w:p w14:paraId="1AE50CB8"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608.729</w:t>
            </w:r>
          </w:p>
        </w:tc>
        <w:tc>
          <w:tcPr>
            <w:tcW w:w="0" w:type="auto"/>
            <w:tcBorders>
              <w:top w:val="nil"/>
              <w:left w:val="single" w:sz="4" w:space="0" w:color="auto"/>
              <w:bottom w:val="nil"/>
              <w:right w:val="single" w:sz="4" w:space="0" w:color="auto"/>
            </w:tcBorders>
            <w:shd w:val="clear" w:color="auto" w:fill="auto"/>
            <w:noWrap/>
            <w:vAlign w:val="bottom"/>
            <w:hideMark/>
          </w:tcPr>
          <w:p w14:paraId="6025B14E"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23.203,69</w:t>
            </w:r>
          </w:p>
        </w:tc>
        <w:tc>
          <w:tcPr>
            <w:tcW w:w="0" w:type="auto"/>
            <w:tcBorders>
              <w:top w:val="nil"/>
              <w:left w:val="single" w:sz="4" w:space="0" w:color="auto"/>
              <w:bottom w:val="nil"/>
              <w:right w:val="single" w:sz="4" w:space="0" w:color="auto"/>
            </w:tcBorders>
            <w:shd w:val="clear" w:color="auto" w:fill="auto"/>
            <w:noWrap/>
            <w:vAlign w:val="bottom"/>
            <w:hideMark/>
          </w:tcPr>
          <w:p w14:paraId="210FDB99"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38.118</w:t>
            </w:r>
          </w:p>
        </w:tc>
        <w:tc>
          <w:tcPr>
            <w:tcW w:w="0" w:type="auto"/>
            <w:tcBorders>
              <w:top w:val="nil"/>
              <w:left w:val="single" w:sz="4" w:space="0" w:color="auto"/>
              <w:bottom w:val="nil"/>
              <w:right w:val="single" w:sz="4" w:space="0" w:color="auto"/>
            </w:tcBorders>
            <w:shd w:val="clear" w:color="auto" w:fill="auto"/>
            <w:noWrap/>
            <w:vAlign w:val="bottom"/>
            <w:hideMark/>
          </w:tcPr>
          <w:p w14:paraId="78684363"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1,35%</w:t>
            </w:r>
          </w:p>
        </w:tc>
        <w:tc>
          <w:tcPr>
            <w:tcW w:w="0" w:type="auto"/>
            <w:tcBorders>
              <w:top w:val="nil"/>
              <w:left w:val="single" w:sz="4" w:space="0" w:color="auto"/>
              <w:bottom w:val="nil"/>
              <w:right w:val="nil"/>
            </w:tcBorders>
            <w:shd w:val="clear" w:color="auto" w:fill="auto"/>
            <w:noWrap/>
            <w:vAlign w:val="bottom"/>
            <w:hideMark/>
          </w:tcPr>
          <w:p w14:paraId="52EE1FC1"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1,50%</w:t>
            </w:r>
          </w:p>
        </w:tc>
        <w:tc>
          <w:tcPr>
            <w:tcW w:w="0" w:type="auto"/>
            <w:tcBorders>
              <w:top w:val="nil"/>
              <w:left w:val="single" w:sz="4" w:space="0" w:color="auto"/>
              <w:bottom w:val="nil"/>
              <w:right w:val="single" w:sz="4" w:space="0" w:color="auto"/>
            </w:tcBorders>
            <w:shd w:val="clear" w:color="auto" w:fill="auto"/>
            <w:noWrap/>
            <w:vAlign w:val="bottom"/>
            <w:hideMark/>
          </w:tcPr>
          <w:p w14:paraId="14451372"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17</w:t>
            </w:r>
          </w:p>
        </w:tc>
        <w:tc>
          <w:tcPr>
            <w:tcW w:w="0" w:type="auto"/>
            <w:tcBorders>
              <w:top w:val="nil"/>
              <w:left w:val="single" w:sz="4" w:space="0" w:color="auto"/>
              <w:bottom w:val="nil"/>
              <w:right w:val="single" w:sz="4" w:space="0" w:color="auto"/>
            </w:tcBorders>
            <w:shd w:val="clear" w:color="auto" w:fill="auto"/>
            <w:noWrap/>
            <w:vAlign w:val="bottom"/>
            <w:hideMark/>
          </w:tcPr>
          <w:p w14:paraId="3907B835"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22</w:t>
            </w:r>
          </w:p>
        </w:tc>
        <w:tc>
          <w:tcPr>
            <w:tcW w:w="0" w:type="auto"/>
            <w:tcBorders>
              <w:top w:val="nil"/>
              <w:left w:val="single" w:sz="4" w:space="0" w:color="auto"/>
              <w:bottom w:val="nil"/>
              <w:right w:val="single" w:sz="8" w:space="0" w:color="auto"/>
            </w:tcBorders>
            <w:shd w:val="clear" w:color="auto" w:fill="auto"/>
            <w:noWrap/>
            <w:vAlign w:val="bottom"/>
            <w:hideMark/>
          </w:tcPr>
          <w:p w14:paraId="7832A124"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20</w:t>
            </w:r>
          </w:p>
        </w:tc>
      </w:tr>
      <w:tr w:rsidR="004D596E" w:rsidRPr="007148A6" w14:paraId="79F9ABB9" w14:textId="77777777" w:rsidTr="004860F2">
        <w:trPr>
          <w:trHeight w:val="300"/>
        </w:trPr>
        <w:tc>
          <w:tcPr>
            <w:tcW w:w="2117" w:type="dxa"/>
            <w:tcBorders>
              <w:top w:val="nil"/>
              <w:left w:val="single" w:sz="8" w:space="0" w:color="auto"/>
              <w:bottom w:val="nil"/>
              <w:right w:val="single" w:sz="4" w:space="0" w:color="auto"/>
            </w:tcBorders>
            <w:shd w:val="clear" w:color="auto" w:fill="E7E6E6" w:themeFill="background2"/>
            <w:noWrap/>
            <w:vAlign w:val="bottom"/>
            <w:hideMark/>
          </w:tcPr>
          <w:p w14:paraId="0BC09190" w14:textId="77777777" w:rsidR="004D596E" w:rsidRPr="00B15674" w:rsidRDefault="004D596E" w:rsidP="005F479F">
            <w:pPr>
              <w:spacing w:after="0" w:line="240" w:lineRule="auto"/>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CÓRDOBA</w:t>
            </w:r>
          </w:p>
        </w:tc>
        <w:tc>
          <w:tcPr>
            <w:tcW w:w="0" w:type="auto"/>
            <w:tcBorders>
              <w:top w:val="nil"/>
              <w:left w:val="nil"/>
              <w:bottom w:val="nil"/>
              <w:right w:val="single" w:sz="4" w:space="0" w:color="auto"/>
            </w:tcBorders>
            <w:shd w:val="clear" w:color="auto" w:fill="auto"/>
            <w:noWrap/>
            <w:vAlign w:val="bottom"/>
            <w:hideMark/>
          </w:tcPr>
          <w:p w14:paraId="759D05CB"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3.722.332</w:t>
            </w:r>
          </w:p>
        </w:tc>
        <w:tc>
          <w:tcPr>
            <w:tcW w:w="0" w:type="auto"/>
            <w:tcBorders>
              <w:top w:val="nil"/>
              <w:left w:val="single" w:sz="4" w:space="0" w:color="auto"/>
              <w:bottom w:val="nil"/>
              <w:right w:val="single" w:sz="4" w:space="0" w:color="auto"/>
            </w:tcBorders>
            <w:shd w:val="clear" w:color="auto" w:fill="auto"/>
            <w:noWrap/>
            <w:vAlign w:val="bottom"/>
            <w:hideMark/>
          </w:tcPr>
          <w:p w14:paraId="23F43DB3"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131.525,03</w:t>
            </w:r>
          </w:p>
        </w:tc>
        <w:tc>
          <w:tcPr>
            <w:tcW w:w="0" w:type="auto"/>
            <w:tcBorders>
              <w:top w:val="nil"/>
              <w:left w:val="single" w:sz="4" w:space="0" w:color="auto"/>
              <w:bottom w:val="nil"/>
              <w:right w:val="single" w:sz="4" w:space="0" w:color="auto"/>
            </w:tcBorders>
            <w:shd w:val="clear" w:color="auto" w:fill="auto"/>
            <w:noWrap/>
            <w:vAlign w:val="bottom"/>
            <w:hideMark/>
          </w:tcPr>
          <w:p w14:paraId="6BEFC6BA"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35.334</w:t>
            </w:r>
          </w:p>
        </w:tc>
        <w:tc>
          <w:tcPr>
            <w:tcW w:w="0" w:type="auto"/>
            <w:tcBorders>
              <w:top w:val="nil"/>
              <w:left w:val="single" w:sz="4" w:space="0" w:color="auto"/>
              <w:bottom w:val="nil"/>
              <w:right w:val="single" w:sz="4" w:space="0" w:color="auto"/>
            </w:tcBorders>
            <w:shd w:val="clear" w:color="auto" w:fill="auto"/>
            <w:noWrap/>
            <w:vAlign w:val="bottom"/>
            <w:hideMark/>
          </w:tcPr>
          <w:p w14:paraId="68A7D171"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8,28%</w:t>
            </w:r>
          </w:p>
        </w:tc>
        <w:tc>
          <w:tcPr>
            <w:tcW w:w="0" w:type="auto"/>
            <w:tcBorders>
              <w:top w:val="nil"/>
              <w:left w:val="single" w:sz="4" w:space="0" w:color="auto"/>
              <w:bottom w:val="nil"/>
              <w:right w:val="nil"/>
            </w:tcBorders>
            <w:shd w:val="clear" w:color="auto" w:fill="auto"/>
            <w:noWrap/>
            <w:vAlign w:val="bottom"/>
            <w:hideMark/>
          </w:tcPr>
          <w:p w14:paraId="091AD045"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8,50%</w:t>
            </w:r>
          </w:p>
        </w:tc>
        <w:tc>
          <w:tcPr>
            <w:tcW w:w="0" w:type="auto"/>
            <w:tcBorders>
              <w:top w:val="nil"/>
              <w:left w:val="single" w:sz="4" w:space="0" w:color="auto"/>
              <w:bottom w:val="nil"/>
              <w:right w:val="single" w:sz="4" w:space="0" w:color="auto"/>
            </w:tcBorders>
            <w:shd w:val="clear" w:color="auto" w:fill="auto"/>
            <w:noWrap/>
            <w:vAlign w:val="bottom"/>
            <w:hideMark/>
          </w:tcPr>
          <w:p w14:paraId="64B48FFA"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2</w:t>
            </w:r>
          </w:p>
        </w:tc>
        <w:tc>
          <w:tcPr>
            <w:tcW w:w="0" w:type="auto"/>
            <w:tcBorders>
              <w:top w:val="nil"/>
              <w:left w:val="single" w:sz="4" w:space="0" w:color="auto"/>
              <w:bottom w:val="nil"/>
              <w:right w:val="single" w:sz="4" w:space="0" w:color="auto"/>
            </w:tcBorders>
            <w:shd w:val="clear" w:color="auto" w:fill="auto"/>
            <w:noWrap/>
            <w:vAlign w:val="bottom"/>
            <w:hideMark/>
          </w:tcPr>
          <w:p w14:paraId="7E044A66"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3</w:t>
            </w:r>
          </w:p>
        </w:tc>
        <w:tc>
          <w:tcPr>
            <w:tcW w:w="0" w:type="auto"/>
            <w:tcBorders>
              <w:top w:val="nil"/>
              <w:left w:val="single" w:sz="4" w:space="0" w:color="auto"/>
              <w:bottom w:val="nil"/>
              <w:right w:val="single" w:sz="8" w:space="0" w:color="auto"/>
            </w:tcBorders>
            <w:shd w:val="clear" w:color="auto" w:fill="auto"/>
            <w:noWrap/>
            <w:vAlign w:val="bottom"/>
            <w:hideMark/>
          </w:tcPr>
          <w:p w14:paraId="05A7306E"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21</w:t>
            </w:r>
          </w:p>
        </w:tc>
      </w:tr>
      <w:tr w:rsidR="004D596E" w:rsidRPr="007148A6" w14:paraId="1C6DC396" w14:textId="77777777" w:rsidTr="004860F2">
        <w:trPr>
          <w:trHeight w:val="300"/>
        </w:trPr>
        <w:tc>
          <w:tcPr>
            <w:tcW w:w="2117" w:type="dxa"/>
            <w:tcBorders>
              <w:top w:val="nil"/>
              <w:left w:val="single" w:sz="8" w:space="0" w:color="auto"/>
              <w:bottom w:val="nil"/>
              <w:right w:val="single" w:sz="4" w:space="0" w:color="auto"/>
            </w:tcBorders>
            <w:shd w:val="clear" w:color="auto" w:fill="E7E6E6" w:themeFill="background2"/>
            <w:noWrap/>
            <w:vAlign w:val="bottom"/>
            <w:hideMark/>
          </w:tcPr>
          <w:p w14:paraId="7A3DC826" w14:textId="77777777" w:rsidR="004D596E" w:rsidRPr="00B15674" w:rsidRDefault="004D596E" w:rsidP="005F479F">
            <w:pPr>
              <w:spacing w:after="0" w:line="240" w:lineRule="auto"/>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CORRIENTES</w:t>
            </w:r>
          </w:p>
        </w:tc>
        <w:tc>
          <w:tcPr>
            <w:tcW w:w="0" w:type="auto"/>
            <w:tcBorders>
              <w:top w:val="nil"/>
              <w:left w:val="nil"/>
              <w:bottom w:val="nil"/>
              <w:right w:val="single" w:sz="4" w:space="0" w:color="auto"/>
            </w:tcBorders>
            <w:shd w:val="clear" w:color="auto" w:fill="auto"/>
            <w:noWrap/>
            <w:vAlign w:val="bottom"/>
            <w:hideMark/>
          </w:tcPr>
          <w:p w14:paraId="2F344208"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1.111.052</w:t>
            </w:r>
          </w:p>
        </w:tc>
        <w:tc>
          <w:tcPr>
            <w:tcW w:w="0" w:type="auto"/>
            <w:tcBorders>
              <w:top w:val="nil"/>
              <w:left w:val="single" w:sz="4" w:space="0" w:color="auto"/>
              <w:bottom w:val="nil"/>
              <w:right w:val="single" w:sz="4" w:space="0" w:color="auto"/>
            </w:tcBorders>
            <w:shd w:val="clear" w:color="auto" w:fill="auto"/>
            <w:noWrap/>
            <w:vAlign w:val="bottom"/>
            <w:hideMark/>
          </w:tcPr>
          <w:p w14:paraId="02D5F9DD"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53.743,74</w:t>
            </w:r>
          </w:p>
        </w:tc>
        <w:tc>
          <w:tcPr>
            <w:tcW w:w="0" w:type="auto"/>
            <w:tcBorders>
              <w:top w:val="nil"/>
              <w:left w:val="single" w:sz="4" w:space="0" w:color="auto"/>
              <w:bottom w:val="nil"/>
              <w:right w:val="single" w:sz="4" w:space="0" w:color="auto"/>
            </w:tcBorders>
            <w:shd w:val="clear" w:color="auto" w:fill="auto"/>
            <w:noWrap/>
            <w:vAlign w:val="bottom"/>
            <w:hideMark/>
          </w:tcPr>
          <w:p w14:paraId="65DF354D"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48.372</w:t>
            </w:r>
          </w:p>
        </w:tc>
        <w:tc>
          <w:tcPr>
            <w:tcW w:w="0" w:type="auto"/>
            <w:tcBorders>
              <w:top w:val="nil"/>
              <w:left w:val="single" w:sz="4" w:space="0" w:color="auto"/>
              <w:bottom w:val="nil"/>
              <w:right w:val="single" w:sz="4" w:space="0" w:color="auto"/>
            </w:tcBorders>
            <w:shd w:val="clear" w:color="auto" w:fill="auto"/>
            <w:noWrap/>
            <w:vAlign w:val="bottom"/>
            <w:hideMark/>
          </w:tcPr>
          <w:p w14:paraId="3F0CB6A6"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2,47%</w:t>
            </w:r>
          </w:p>
        </w:tc>
        <w:tc>
          <w:tcPr>
            <w:tcW w:w="0" w:type="auto"/>
            <w:tcBorders>
              <w:top w:val="nil"/>
              <w:left w:val="single" w:sz="4" w:space="0" w:color="auto"/>
              <w:bottom w:val="nil"/>
              <w:right w:val="nil"/>
            </w:tcBorders>
            <w:shd w:val="clear" w:color="auto" w:fill="auto"/>
            <w:noWrap/>
            <w:vAlign w:val="bottom"/>
            <w:hideMark/>
          </w:tcPr>
          <w:p w14:paraId="65C7C975"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3,47%</w:t>
            </w:r>
          </w:p>
        </w:tc>
        <w:tc>
          <w:tcPr>
            <w:tcW w:w="0" w:type="auto"/>
            <w:tcBorders>
              <w:top w:val="nil"/>
              <w:left w:val="single" w:sz="4" w:space="0" w:color="auto"/>
              <w:bottom w:val="nil"/>
              <w:right w:val="single" w:sz="4" w:space="0" w:color="auto"/>
            </w:tcBorders>
            <w:shd w:val="clear" w:color="auto" w:fill="auto"/>
            <w:noWrap/>
            <w:vAlign w:val="bottom"/>
            <w:hideMark/>
          </w:tcPr>
          <w:p w14:paraId="3C886E76"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11</w:t>
            </w:r>
          </w:p>
        </w:tc>
        <w:tc>
          <w:tcPr>
            <w:tcW w:w="0" w:type="auto"/>
            <w:tcBorders>
              <w:top w:val="nil"/>
              <w:left w:val="single" w:sz="4" w:space="0" w:color="auto"/>
              <w:bottom w:val="nil"/>
              <w:right w:val="single" w:sz="4" w:space="0" w:color="auto"/>
            </w:tcBorders>
            <w:shd w:val="clear" w:color="auto" w:fill="auto"/>
            <w:noWrap/>
            <w:vAlign w:val="bottom"/>
            <w:hideMark/>
          </w:tcPr>
          <w:p w14:paraId="5902805A"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11</w:t>
            </w:r>
          </w:p>
        </w:tc>
        <w:tc>
          <w:tcPr>
            <w:tcW w:w="0" w:type="auto"/>
            <w:tcBorders>
              <w:top w:val="nil"/>
              <w:left w:val="single" w:sz="4" w:space="0" w:color="auto"/>
              <w:bottom w:val="nil"/>
              <w:right w:val="single" w:sz="8" w:space="0" w:color="auto"/>
            </w:tcBorders>
            <w:shd w:val="clear" w:color="auto" w:fill="auto"/>
            <w:noWrap/>
            <w:vAlign w:val="bottom"/>
            <w:hideMark/>
          </w:tcPr>
          <w:p w14:paraId="5002F494"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14</w:t>
            </w:r>
          </w:p>
        </w:tc>
      </w:tr>
      <w:tr w:rsidR="004D596E" w:rsidRPr="007148A6" w14:paraId="50BCF03F" w14:textId="77777777" w:rsidTr="004860F2">
        <w:trPr>
          <w:trHeight w:val="300"/>
        </w:trPr>
        <w:tc>
          <w:tcPr>
            <w:tcW w:w="2117" w:type="dxa"/>
            <w:tcBorders>
              <w:top w:val="nil"/>
              <w:left w:val="single" w:sz="8" w:space="0" w:color="auto"/>
              <w:bottom w:val="nil"/>
              <w:right w:val="single" w:sz="4" w:space="0" w:color="auto"/>
            </w:tcBorders>
            <w:shd w:val="clear" w:color="auto" w:fill="E7E6E6" w:themeFill="background2"/>
            <w:noWrap/>
            <w:vAlign w:val="bottom"/>
            <w:hideMark/>
          </w:tcPr>
          <w:p w14:paraId="39F50199" w14:textId="77777777" w:rsidR="004D596E" w:rsidRPr="00B15674" w:rsidRDefault="004D596E" w:rsidP="005F479F">
            <w:pPr>
              <w:spacing w:after="0" w:line="240" w:lineRule="auto"/>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ENTRE RÍOS</w:t>
            </w:r>
          </w:p>
        </w:tc>
        <w:tc>
          <w:tcPr>
            <w:tcW w:w="0" w:type="auto"/>
            <w:tcBorders>
              <w:top w:val="nil"/>
              <w:left w:val="nil"/>
              <w:bottom w:val="nil"/>
              <w:right w:val="single" w:sz="4" w:space="0" w:color="auto"/>
            </w:tcBorders>
            <w:shd w:val="clear" w:color="auto" w:fill="auto"/>
            <w:noWrap/>
            <w:vAlign w:val="bottom"/>
            <w:hideMark/>
          </w:tcPr>
          <w:p w14:paraId="074B1597"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1.373.270</w:t>
            </w:r>
          </w:p>
        </w:tc>
        <w:tc>
          <w:tcPr>
            <w:tcW w:w="0" w:type="auto"/>
            <w:tcBorders>
              <w:top w:val="nil"/>
              <w:left w:val="single" w:sz="4" w:space="0" w:color="auto"/>
              <w:bottom w:val="nil"/>
              <w:right w:val="single" w:sz="4" w:space="0" w:color="auto"/>
            </w:tcBorders>
            <w:shd w:val="clear" w:color="auto" w:fill="auto"/>
            <w:noWrap/>
            <w:vAlign w:val="bottom"/>
            <w:hideMark/>
          </w:tcPr>
          <w:p w14:paraId="6687EE83"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70.066,77</w:t>
            </w:r>
          </w:p>
        </w:tc>
        <w:tc>
          <w:tcPr>
            <w:tcW w:w="0" w:type="auto"/>
            <w:tcBorders>
              <w:top w:val="nil"/>
              <w:left w:val="single" w:sz="4" w:space="0" w:color="auto"/>
              <w:bottom w:val="nil"/>
              <w:right w:val="single" w:sz="4" w:space="0" w:color="auto"/>
            </w:tcBorders>
            <w:shd w:val="clear" w:color="auto" w:fill="auto"/>
            <w:noWrap/>
            <w:vAlign w:val="bottom"/>
            <w:hideMark/>
          </w:tcPr>
          <w:p w14:paraId="07D5FB53"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51.022</w:t>
            </w:r>
          </w:p>
        </w:tc>
        <w:tc>
          <w:tcPr>
            <w:tcW w:w="0" w:type="auto"/>
            <w:tcBorders>
              <w:top w:val="nil"/>
              <w:left w:val="single" w:sz="4" w:space="0" w:color="auto"/>
              <w:bottom w:val="nil"/>
              <w:right w:val="single" w:sz="4" w:space="0" w:color="auto"/>
            </w:tcBorders>
            <w:shd w:val="clear" w:color="auto" w:fill="auto"/>
            <w:noWrap/>
            <w:vAlign w:val="bottom"/>
            <w:hideMark/>
          </w:tcPr>
          <w:p w14:paraId="37174990"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3,06%</w:t>
            </w:r>
          </w:p>
        </w:tc>
        <w:tc>
          <w:tcPr>
            <w:tcW w:w="0" w:type="auto"/>
            <w:tcBorders>
              <w:top w:val="nil"/>
              <w:left w:val="single" w:sz="4" w:space="0" w:color="auto"/>
              <w:bottom w:val="nil"/>
              <w:right w:val="nil"/>
            </w:tcBorders>
            <w:shd w:val="clear" w:color="auto" w:fill="auto"/>
            <w:noWrap/>
            <w:vAlign w:val="bottom"/>
            <w:hideMark/>
          </w:tcPr>
          <w:p w14:paraId="136DEBD0"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4,53%</w:t>
            </w:r>
          </w:p>
        </w:tc>
        <w:tc>
          <w:tcPr>
            <w:tcW w:w="0" w:type="auto"/>
            <w:tcBorders>
              <w:top w:val="nil"/>
              <w:left w:val="single" w:sz="4" w:space="0" w:color="auto"/>
              <w:bottom w:val="nil"/>
              <w:right w:val="single" w:sz="4" w:space="0" w:color="auto"/>
            </w:tcBorders>
            <w:shd w:val="clear" w:color="auto" w:fill="auto"/>
            <w:noWrap/>
            <w:vAlign w:val="bottom"/>
            <w:hideMark/>
          </w:tcPr>
          <w:p w14:paraId="7AFC3D83"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8</w:t>
            </w:r>
          </w:p>
        </w:tc>
        <w:tc>
          <w:tcPr>
            <w:tcW w:w="0" w:type="auto"/>
            <w:tcBorders>
              <w:top w:val="nil"/>
              <w:left w:val="single" w:sz="4" w:space="0" w:color="auto"/>
              <w:bottom w:val="nil"/>
              <w:right w:val="single" w:sz="4" w:space="0" w:color="auto"/>
            </w:tcBorders>
            <w:shd w:val="clear" w:color="auto" w:fill="auto"/>
            <w:noWrap/>
            <w:vAlign w:val="bottom"/>
            <w:hideMark/>
          </w:tcPr>
          <w:p w14:paraId="39D0B836"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6</w:t>
            </w:r>
          </w:p>
        </w:tc>
        <w:tc>
          <w:tcPr>
            <w:tcW w:w="0" w:type="auto"/>
            <w:tcBorders>
              <w:top w:val="nil"/>
              <w:left w:val="single" w:sz="4" w:space="0" w:color="auto"/>
              <w:bottom w:val="nil"/>
              <w:right w:val="single" w:sz="8" w:space="0" w:color="auto"/>
            </w:tcBorders>
            <w:shd w:val="clear" w:color="auto" w:fill="auto"/>
            <w:noWrap/>
            <w:vAlign w:val="bottom"/>
            <w:hideMark/>
          </w:tcPr>
          <w:p w14:paraId="1737BF92"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12</w:t>
            </w:r>
          </w:p>
        </w:tc>
      </w:tr>
      <w:tr w:rsidR="004D596E" w:rsidRPr="007148A6" w14:paraId="61CEE844" w14:textId="77777777" w:rsidTr="004860F2">
        <w:trPr>
          <w:trHeight w:val="300"/>
        </w:trPr>
        <w:tc>
          <w:tcPr>
            <w:tcW w:w="2117" w:type="dxa"/>
            <w:tcBorders>
              <w:top w:val="nil"/>
              <w:left w:val="single" w:sz="8" w:space="0" w:color="auto"/>
              <w:bottom w:val="nil"/>
              <w:right w:val="single" w:sz="4" w:space="0" w:color="auto"/>
            </w:tcBorders>
            <w:shd w:val="clear" w:color="auto" w:fill="E7E6E6" w:themeFill="background2"/>
            <w:noWrap/>
            <w:vAlign w:val="bottom"/>
            <w:hideMark/>
          </w:tcPr>
          <w:p w14:paraId="7B59812B" w14:textId="77777777" w:rsidR="004D596E" w:rsidRPr="00B15674" w:rsidRDefault="004D596E" w:rsidP="005F479F">
            <w:pPr>
              <w:spacing w:after="0" w:line="240" w:lineRule="auto"/>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FORMOSA</w:t>
            </w:r>
          </w:p>
        </w:tc>
        <w:tc>
          <w:tcPr>
            <w:tcW w:w="0" w:type="auto"/>
            <w:tcBorders>
              <w:top w:val="nil"/>
              <w:left w:val="nil"/>
              <w:bottom w:val="nil"/>
              <w:right w:val="single" w:sz="4" w:space="0" w:color="auto"/>
            </w:tcBorders>
            <w:shd w:val="clear" w:color="auto" w:fill="auto"/>
            <w:noWrap/>
            <w:vAlign w:val="bottom"/>
            <w:hideMark/>
          </w:tcPr>
          <w:p w14:paraId="33BD381F"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600.229</w:t>
            </w:r>
          </w:p>
        </w:tc>
        <w:tc>
          <w:tcPr>
            <w:tcW w:w="0" w:type="auto"/>
            <w:tcBorders>
              <w:top w:val="nil"/>
              <w:left w:val="single" w:sz="4" w:space="0" w:color="auto"/>
              <w:bottom w:val="nil"/>
              <w:right w:val="single" w:sz="4" w:space="0" w:color="auto"/>
            </w:tcBorders>
            <w:shd w:val="clear" w:color="auto" w:fill="auto"/>
            <w:noWrap/>
            <w:vAlign w:val="bottom"/>
            <w:hideMark/>
          </w:tcPr>
          <w:p w14:paraId="7D1ECD82"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52.049,38</w:t>
            </w:r>
          </w:p>
        </w:tc>
        <w:tc>
          <w:tcPr>
            <w:tcW w:w="0" w:type="auto"/>
            <w:tcBorders>
              <w:top w:val="nil"/>
              <w:left w:val="single" w:sz="4" w:space="0" w:color="auto"/>
              <w:bottom w:val="nil"/>
              <w:right w:val="single" w:sz="4" w:space="0" w:color="auto"/>
            </w:tcBorders>
            <w:shd w:val="clear" w:color="auto" w:fill="auto"/>
            <w:noWrap/>
            <w:vAlign w:val="bottom"/>
            <w:hideMark/>
          </w:tcPr>
          <w:p w14:paraId="21BEE2AC"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86.716</w:t>
            </w:r>
          </w:p>
        </w:tc>
        <w:tc>
          <w:tcPr>
            <w:tcW w:w="0" w:type="auto"/>
            <w:tcBorders>
              <w:top w:val="nil"/>
              <w:left w:val="single" w:sz="4" w:space="0" w:color="auto"/>
              <w:bottom w:val="nil"/>
              <w:right w:val="single" w:sz="4" w:space="0" w:color="auto"/>
            </w:tcBorders>
            <w:shd w:val="clear" w:color="auto" w:fill="auto"/>
            <w:noWrap/>
            <w:vAlign w:val="bottom"/>
            <w:hideMark/>
          </w:tcPr>
          <w:p w14:paraId="330AB06F"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1,34%</w:t>
            </w:r>
          </w:p>
        </w:tc>
        <w:tc>
          <w:tcPr>
            <w:tcW w:w="0" w:type="auto"/>
            <w:tcBorders>
              <w:top w:val="nil"/>
              <w:left w:val="single" w:sz="4" w:space="0" w:color="auto"/>
              <w:bottom w:val="nil"/>
              <w:right w:val="nil"/>
            </w:tcBorders>
            <w:shd w:val="clear" w:color="auto" w:fill="auto"/>
            <w:noWrap/>
            <w:vAlign w:val="bottom"/>
            <w:hideMark/>
          </w:tcPr>
          <w:p w14:paraId="3C1F64E5"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3,36%</w:t>
            </w:r>
          </w:p>
        </w:tc>
        <w:tc>
          <w:tcPr>
            <w:tcW w:w="0" w:type="auto"/>
            <w:tcBorders>
              <w:top w:val="nil"/>
              <w:left w:val="single" w:sz="4" w:space="0" w:color="auto"/>
              <w:bottom w:val="nil"/>
              <w:right w:val="single" w:sz="4" w:space="0" w:color="auto"/>
            </w:tcBorders>
            <w:shd w:val="clear" w:color="auto" w:fill="auto"/>
            <w:noWrap/>
            <w:vAlign w:val="bottom"/>
            <w:hideMark/>
          </w:tcPr>
          <w:p w14:paraId="1B6E857A"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18</w:t>
            </w:r>
          </w:p>
        </w:tc>
        <w:tc>
          <w:tcPr>
            <w:tcW w:w="0" w:type="auto"/>
            <w:tcBorders>
              <w:top w:val="nil"/>
              <w:left w:val="single" w:sz="4" w:space="0" w:color="auto"/>
              <w:bottom w:val="nil"/>
              <w:right w:val="single" w:sz="4" w:space="0" w:color="auto"/>
            </w:tcBorders>
            <w:shd w:val="clear" w:color="auto" w:fill="auto"/>
            <w:noWrap/>
            <w:vAlign w:val="bottom"/>
            <w:hideMark/>
          </w:tcPr>
          <w:p w14:paraId="7A035C74"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12</w:t>
            </w:r>
          </w:p>
        </w:tc>
        <w:tc>
          <w:tcPr>
            <w:tcW w:w="0" w:type="auto"/>
            <w:tcBorders>
              <w:top w:val="nil"/>
              <w:left w:val="single" w:sz="4" w:space="0" w:color="auto"/>
              <w:bottom w:val="nil"/>
              <w:right w:val="single" w:sz="8" w:space="0" w:color="auto"/>
            </w:tcBorders>
            <w:shd w:val="clear" w:color="auto" w:fill="auto"/>
            <w:noWrap/>
            <w:vAlign w:val="bottom"/>
            <w:hideMark/>
          </w:tcPr>
          <w:p w14:paraId="6DFEC4C0"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3</w:t>
            </w:r>
          </w:p>
        </w:tc>
      </w:tr>
      <w:tr w:rsidR="004D596E" w:rsidRPr="007148A6" w14:paraId="48E96720" w14:textId="77777777" w:rsidTr="004860F2">
        <w:trPr>
          <w:trHeight w:val="300"/>
        </w:trPr>
        <w:tc>
          <w:tcPr>
            <w:tcW w:w="2117" w:type="dxa"/>
            <w:tcBorders>
              <w:top w:val="nil"/>
              <w:left w:val="single" w:sz="8" w:space="0" w:color="auto"/>
              <w:bottom w:val="nil"/>
              <w:right w:val="single" w:sz="4" w:space="0" w:color="auto"/>
            </w:tcBorders>
            <w:shd w:val="clear" w:color="auto" w:fill="E7E6E6" w:themeFill="background2"/>
            <w:noWrap/>
            <w:vAlign w:val="bottom"/>
            <w:hideMark/>
          </w:tcPr>
          <w:p w14:paraId="59B175E8" w14:textId="77777777" w:rsidR="004D596E" w:rsidRPr="00B15674" w:rsidRDefault="004D596E" w:rsidP="005F479F">
            <w:pPr>
              <w:spacing w:after="0" w:line="240" w:lineRule="auto"/>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JUJUY</w:t>
            </w:r>
          </w:p>
        </w:tc>
        <w:tc>
          <w:tcPr>
            <w:tcW w:w="0" w:type="auto"/>
            <w:tcBorders>
              <w:top w:val="nil"/>
              <w:left w:val="nil"/>
              <w:bottom w:val="nil"/>
              <w:right w:val="single" w:sz="4" w:space="0" w:color="auto"/>
            </w:tcBorders>
            <w:shd w:val="clear" w:color="auto" w:fill="auto"/>
            <w:noWrap/>
            <w:vAlign w:val="bottom"/>
            <w:hideMark/>
          </w:tcPr>
          <w:p w14:paraId="08053321"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762.440</w:t>
            </w:r>
          </w:p>
        </w:tc>
        <w:tc>
          <w:tcPr>
            <w:tcW w:w="0" w:type="auto"/>
            <w:tcBorders>
              <w:top w:val="nil"/>
              <w:left w:val="single" w:sz="4" w:space="0" w:color="auto"/>
              <w:bottom w:val="nil"/>
              <w:right w:val="single" w:sz="4" w:space="0" w:color="auto"/>
            </w:tcBorders>
            <w:shd w:val="clear" w:color="auto" w:fill="auto"/>
            <w:noWrap/>
            <w:vAlign w:val="bottom"/>
            <w:hideMark/>
          </w:tcPr>
          <w:p w14:paraId="4A873767"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40.461,50</w:t>
            </w:r>
          </w:p>
        </w:tc>
        <w:tc>
          <w:tcPr>
            <w:tcW w:w="0" w:type="auto"/>
            <w:tcBorders>
              <w:top w:val="nil"/>
              <w:left w:val="single" w:sz="4" w:space="0" w:color="auto"/>
              <w:bottom w:val="nil"/>
              <w:right w:val="single" w:sz="4" w:space="0" w:color="auto"/>
            </w:tcBorders>
            <w:shd w:val="clear" w:color="auto" w:fill="auto"/>
            <w:noWrap/>
            <w:vAlign w:val="bottom"/>
            <w:hideMark/>
          </w:tcPr>
          <w:p w14:paraId="40655005"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53.068</w:t>
            </w:r>
          </w:p>
        </w:tc>
        <w:tc>
          <w:tcPr>
            <w:tcW w:w="0" w:type="auto"/>
            <w:tcBorders>
              <w:top w:val="nil"/>
              <w:left w:val="single" w:sz="4" w:space="0" w:color="auto"/>
              <w:bottom w:val="nil"/>
              <w:right w:val="single" w:sz="4" w:space="0" w:color="auto"/>
            </w:tcBorders>
            <w:shd w:val="clear" w:color="auto" w:fill="auto"/>
            <w:noWrap/>
            <w:vAlign w:val="bottom"/>
            <w:hideMark/>
          </w:tcPr>
          <w:p w14:paraId="09BBB559"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1,70%</w:t>
            </w:r>
          </w:p>
        </w:tc>
        <w:tc>
          <w:tcPr>
            <w:tcW w:w="0" w:type="auto"/>
            <w:tcBorders>
              <w:top w:val="nil"/>
              <w:left w:val="single" w:sz="4" w:space="0" w:color="auto"/>
              <w:bottom w:val="nil"/>
              <w:right w:val="nil"/>
            </w:tcBorders>
            <w:shd w:val="clear" w:color="auto" w:fill="auto"/>
            <w:noWrap/>
            <w:vAlign w:val="bottom"/>
            <w:hideMark/>
          </w:tcPr>
          <w:p w14:paraId="0128CF88"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2,62%</w:t>
            </w:r>
          </w:p>
        </w:tc>
        <w:tc>
          <w:tcPr>
            <w:tcW w:w="0" w:type="auto"/>
            <w:tcBorders>
              <w:top w:val="nil"/>
              <w:left w:val="single" w:sz="4" w:space="0" w:color="auto"/>
              <w:bottom w:val="nil"/>
              <w:right w:val="single" w:sz="4" w:space="0" w:color="auto"/>
            </w:tcBorders>
            <w:shd w:val="clear" w:color="auto" w:fill="auto"/>
            <w:noWrap/>
            <w:vAlign w:val="bottom"/>
            <w:hideMark/>
          </w:tcPr>
          <w:p w14:paraId="15AE50BA"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14</w:t>
            </w:r>
          </w:p>
        </w:tc>
        <w:tc>
          <w:tcPr>
            <w:tcW w:w="0" w:type="auto"/>
            <w:tcBorders>
              <w:top w:val="nil"/>
              <w:left w:val="single" w:sz="4" w:space="0" w:color="auto"/>
              <w:bottom w:val="nil"/>
              <w:right w:val="single" w:sz="4" w:space="0" w:color="auto"/>
            </w:tcBorders>
            <w:shd w:val="clear" w:color="auto" w:fill="auto"/>
            <w:noWrap/>
            <w:vAlign w:val="bottom"/>
            <w:hideMark/>
          </w:tcPr>
          <w:p w14:paraId="5B5BAB83"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15</w:t>
            </w:r>
          </w:p>
        </w:tc>
        <w:tc>
          <w:tcPr>
            <w:tcW w:w="0" w:type="auto"/>
            <w:tcBorders>
              <w:top w:val="nil"/>
              <w:left w:val="single" w:sz="4" w:space="0" w:color="auto"/>
              <w:bottom w:val="nil"/>
              <w:right w:val="single" w:sz="8" w:space="0" w:color="auto"/>
            </w:tcBorders>
            <w:shd w:val="clear" w:color="auto" w:fill="auto"/>
            <w:noWrap/>
            <w:vAlign w:val="bottom"/>
            <w:hideMark/>
          </w:tcPr>
          <w:p w14:paraId="66CFB1EB"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11</w:t>
            </w:r>
          </w:p>
        </w:tc>
      </w:tr>
      <w:tr w:rsidR="004D596E" w:rsidRPr="007148A6" w14:paraId="06CB67E1" w14:textId="77777777" w:rsidTr="004860F2">
        <w:trPr>
          <w:trHeight w:val="300"/>
        </w:trPr>
        <w:tc>
          <w:tcPr>
            <w:tcW w:w="2117" w:type="dxa"/>
            <w:tcBorders>
              <w:top w:val="nil"/>
              <w:left w:val="single" w:sz="8" w:space="0" w:color="auto"/>
              <w:bottom w:val="nil"/>
              <w:right w:val="single" w:sz="4" w:space="0" w:color="auto"/>
            </w:tcBorders>
            <w:shd w:val="clear" w:color="auto" w:fill="E7E6E6" w:themeFill="background2"/>
            <w:noWrap/>
            <w:vAlign w:val="bottom"/>
            <w:hideMark/>
          </w:tcPr>
          <w:p w14:paraId="3D261FE6" w14:textId="77777777" w:rsidR="004D596E" w:rsidRPr="00B15674" w:rsidRDefault="004D596E" w:rsidP="005F479F">
            <w:pPr>
              <w:spacing w:after="0" w:line="240" w:lineRule="auto"/>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LA PAMPA</w:t>
            </w:r>
          </w:p>
        </w:tc>
        <w:tc>
          <w:tcPr>
            <w:tcW w:w="0" w:type="auto"/>
            <w:tcBorders>
              <w:top w:val="nil"/>
              <w:left w:val="nil"/>
              <w:bottom w:val="nil"/>
              <w:right w:val="single" w:sz="4" w:space="0" w:color="auto"/>
            </w:tcBorders>
            <w:shd w:val="clear" w:color="auto" w:fill="auto"/>
            <w:noWrap/>
            <w:vAlign w:val="bottom"/>
            <w:hideMark/>
          </w:tcPr>
          <w:p w14:paraId="7AA29C42"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355.422</w:t>
            </w:r>
          </w:p>
        </w:tc>
        <w:tc>
          <w:tcPr>
            <w:tcW w:w="0" w:type="auto"/>
            <w:tcBorders>
              <w:top w:val="nil"/>
              <w:left w:val="single" w:sz="4" w:space="0" w:color="auto"/>
              <w:bottom w:val="nil"/>
              <w:right w:val="single" w:sz="4" w:space="0" w:color="auto"/>
            </w:tcBorders>
            <w:shd w:val="clear" w:color="auto" w:fill="auto"/>
            <w:noWrap/>
            <w:vAlign w:val="bottom"/>
            <w:hideMark/>
          </w:tcPr>
          <w:p w14:paraId="4B518AC9"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27.564,41</w:t>
            </w:r>
          </w:p>
        </w:tc>
        <w:tc>
          <w:tcPr>
            <w:tcW w:w="0" w:type="auto"/>
            <w:tcBorders>
              <w:top w:val="nil"/>
              <w:left w:val="single" w:sz="4" w:space="0" w:color="auto"/>
              <w:bottom w:val="nil"/>
              <w:right w:val="single" w:sz="4" w:space="0" w:color="auto"/>
            </w:tcBorders>
            <w:shd w:val="clear" w:color="auto" w:fill="auto"/>
            <w:noWrap/>
            <w:vAlign w:val="bottom"/>
            <w:hideMark/>
          </w:tcPr>
          <w:p w14:paraId="12460FC6"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77.554</w:t>
            </w:r>
          </w:p>
        </w:tc>
        <w:tc>
          <w:tcPr>
            <w:tcW w:w="0" w:type="auto"/>
            <w:tcBorders>
              <w:top w:val="nil"/>
              <w:left w:val="single" w:sz="4" w:space="0" w:color="auto"/>
              <w:bottom w:val="nil"/>
              <w:right w:val="single" w:sz="4" w:space="0" w:color="auto"/>
            </w:tcBorders>
            <w:shd w:val="clear" w:color="auto" w:fill="auto"/>
            <w:noWrap/>
            <w:vAlign w:val="bottom"/>
            <w:hideMark/>
          </w:tcPr>
          <w:p w14:paraId="24D7CEBC"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0,79%</w:t>
            </w:r>
          </w:p>
        </w:tc>
        <w:tc>
          <w:tcPr>
            <w:tcW w:w="0" w:type="auto"/>
            <w:tcBorders>
              <w:top w:val="nil"/>
              <w:left w:val="single" w:sz="4" w:space="0" w:color="auto"/>
              <w:bottom w:val="nil"/>
              <w:right w:val="nil"/>
            </w:tcBorders>
            <w:shd w:val="clear" w:color="auto" w:fill="auto"/>
            <w:noWrap/>
            <w:vAlign w:val="bottom"/>
            <w:hideMark/>
          </w:tcPr>
          <w:p w14:paraId="0622D7CB"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1,78%</w:t>
            </w:r>
          </w:p>
        </w:tc>
        <w:tc>
          <w:tcPr>
            <w:tcW w:w="0" w:type="auto"/>
            <w:tcBorders>
              <w:top w:val="nil"/>
              <w:left w:val="single" w:sz="4" w:space="0" w:color="auto"/>
              <w:bottom w:val="nil"/>
              <w:right w:val="single" w:sz="4" w:space="0" w:color="auto"/>
            </w:tcBorders>
            <w:shd w:val="clear" w:color="auto" w:fill="auto"/>
            <w:noWrap/>
            <w:vAlign w:val="bottom"/>
            <w:hideMark/>
          </w:tcPr>
          <w:p w14:paraId="01BD43E4"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23</w:t>
            </w:r>
          </w:p>
        </w:tc>
        <w:tc>
          <w:tcPr>
            <w:tcW w:w="0" w:type="auto"/>
            <w:tcBorders>
              <w:top w:val="nil"/>
              <w:left w:val="single" w:sz="4" w:space="0" w:color="auto"/>
              <w:bottom w:val="nil"/>
              <w:right w:val="single" w:sz="4" w:space="0" w:color="auto"/>
            </w:tcBorders>
            <w:shd w:val="clear" w:color="auto" w:fill="auto"/>
            <w:noWrap/>
            <w:vAlign w:val="bottom"/>
            <w:hideMark/>
          </w:tcPr>
          <w:p w14:paraId="54E23DB2"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20</w:t>
            </w:r>
          </w:p>
        </w:tc>
        <w:tc>
          <w:tcPr>
            <w:tcW w:w="0" w:type="auto"/>
            <w:tcBorders>
              <w:top w:val="nil"/>
              <w:left w:val="single" w:sz="4" w:space="0" w:color="auto"/>
              <w:bottom w:val="nil"/>
              <w:right w:val="single" w:sz="8" w:space="0" w:color="auto"/>
            </w:tcBorders>
            <w:shd w:val="clear" w:color="auto" w:fill="auto"/>
            <w:noWrap/>
            <w:vAlign w:val="bottom"/>
            <w:hideMark/>
          </w:tcPr>
          <w:p w14:paraId="0665B488"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4</w:t>
            </w:r>
          </w:p>
        </w:tc>
      </w:tr>
      <w:tr w:rsidR="004D596E" w:rsidRPr="007148A6" w14:paraId="6217198B" w14:textId="77777777" w:rsidTr="004860F2">
        <w:trPr>
          <w:trHeight w:val="300"/>
        </w:trPr>
        <w:tc>
          <w:tcPr>
            <w:tcW w:w="2117" w:type="dxa"/>
            <w:tcBorders>
              <w:top w:val="nil"/>
              <w:left w:val="single" w:sz="8" w:space="0" w:color="auto"/>
              <w:bottom w:val="nil"/>
              <w:right w:val="single" w:sz="4" w:space="0" w:color="auto"/>
            </w:tcBorders>
            <w:shd w:val="clear" w:color="auto" w:fill="E7E6E6" w:themeFill="background2"/>
            <w:noWrap/>
            <w:vAlign w:val="bottom"/>
            <w:hideMark/>
          </w:tcPr>
          <w:p w14:paraId="445CC521" w14:textId="77777777" w:rsidR="004D596E" w:rsidRPr="00B15674" w:rsidRDefault="004D596E" w:rsidP="005F479F">
            <w:pPr>
              <w:spacing w:after="0" w:line="240" w:lineRule="auto"/>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LA RIOJA</w:t>
            </w:r>
          </w:p>
        </w:tc>
        <w:tc>
          <w:tcPr>
            <w:tcW w:w="0" w:type="auto"/>
            <w:tcBorders>
              <w:top w:val="nil"/>
              <w:left w:val="nil"/>
              <w:bottom w:val="nil"/>
              <w:right w:val="single" w:sz="4" w:space="0" w:color="auto"/>
            </w:tcBorders>
            <w:shd w:val="clear" w:color="auto" w:fill="auto"/>
            <w:noWrap/>
            <w:vAlign w:val="bottom"/>
            <w:hideMark/>
          </w:tcPr>
          <w:p w14:paraId="36036B24"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388.386</w:t>
            </w:r>
          </w:p>
        </w:tc>
        <w:tc>
          <w:tcPr>
            <w:tcW w:w="0" w:type="auto"/>
            <w:tcBorders>
              <w:top w:val="nil"/>
              <w:left w:val="single" w:sz="4" w:space="0" w:color="auto"/>
              <w:bottom w:val="nil"/>
              <w:right w:val="single" w:sz="4" w:space="0" w:color="auto"/>
            </w:tcBorders>
            <w:shd w:val="clear" w:color="auto" w:fill="auto"/>
            <w:noWrap/>
            <w:vAlign w:val="bottom"/>
            <w:hideMark/>
          </w:tcPr>
          <w:p w14:paraId="3C3209FD"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29.491,86</w:t>
            </w:r>
          </w:p>
        </w:tc>
        <w:tc>
          <w:tcPr>
            <w:tcW w:w="0" w:type="auto"/>
            <w:tcBorders>
              <w:top w:val="nil"/>
              <w:left w:val="single" w:sz="4" w:space="0" w:color="auto"/>
              <w:bottom w:val="nil"/>
              <w:right w:val="single" w:sz="4" w:space="0" w:color="auto"/>
            </w:tcBorders>
            <w:shd w:val="clear" w:color="auto" w:fill="auto"/>
            <w:noWrap/>
            <w:vAlign w:val="bottom"/>
            <w:hideMark/>
          </w:tcPr>
          <w:p w14:paraId="66B5F471"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75.934</w:t>
            </w:r>
          </w:p>
        </w:tc>
        <w:tc>
          <w:tcPr>
            <w:tcW w:w="0" w:type="auto"/>
            <w:tcBorders>
              <w:top w:val="nil"/>
              <w:left w:val="single" w:sz="4" w:space="0" w:color="auto"/>
              <w:bottom w:val="nil"/>
              <w:right w:val="single" w:sz="4" w:space="0" w:color="auto"/>
            </w:tcBorders>
            <w:shd w:val="clear" w:color="auto" w:fill="auto"/>
            <w:noWrap/>
            <w:vAlign w:val="bottom"/>
            <w:hideMark/>
          </w:tcPr>
          <w:p w14:paraId="6D6F8277"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0,86%</w:t>
            </w:r>
          </w:p>
        </w:tc>
        <w:tc>
          <w:tcPr>
            <w:tcW w:w="0" w:type="auto"/>
            <w:tcBorders>
              <w:top w:val="nil"/>
              <w:left w:val="single" w:sz="4" w:space="0" w:color="auto"/>
              <w:bottom w:val="nil"/>
              <w:right w:val="nil"/>
            </w:tcBorders>
            <w:shd w:val="clear" w:color="auto" w:fill="auto"/>
            <w:noWrap/>
            <w:vAlign w:val="bottom"/>
            <w:hideMark/>
          </w:tcPr>
          <w:p w14:paraId="69ED1340"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1,91%</w:t>
            </w:r>
          </w:p>
        </w:tc>
        <w:tc>
          <w:tcPr>
            <w:tcW w:w="0" w:type="auto"/>
            <w:tcBorders>
              <w:top w:val="nil"/>
              <w:left w:val="single" w:sz="4" w:space="0" w:color="auto"/>
              <w:bottom w:val="nil"/>
              <w:right w:val="single" w:sz="4" w:space="0" w:color="auto"/>
            </w:tcBorders>
            <w:shd w:val="clear" w:color="auto" w:fill="auto"/>
            <w:noWrap/>
            <w:vAlign w:val="bottom"/>
            <w:hideMark/>
          </w:tcPr>
          <w:p w14:paraId="4708808D"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21</w:t>
            </w:r>
          </w:p>
        </w:tc>
        <w:tc>
          <w:tcPr>
            <w:tcW w:w="0" w:type="auto"/>
            <w:tcBorders>
              <w:top w:val="nil"/>
              <w:left w:val="single" w:sz="4" w:space="0" w:color="auto"/>
              <w:bottom w:val="nil"/>
              <w:right w:val="single" w:sz="4" w:space="0" w:color="auto"/>
            </w:tcBorders>
            <w:shd w:val="clear" w:color="auto" w:fill="auto"/>
            <w:noWrap/>
            <w:vAlign w:val="bottom"/>
            <w:hideMark/>
          </w:tcPr>
          <w:p w14:paraId="2C387631"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19</w:t>
            </w:r>
          </w:p>
        </w:tc>
        <w:tc>
          <w:tcPr>
            <w:tcW w:w="0" w:type="auto"/>
            <w:tcBorders>
              <w:top w:val="nil"/>
              <w:left w:val="single" w:sz="4" w:space="0" w:color="auto"/>
              <w:bottom w:val="nil"/>
              <w:right w:val="single" w:sz="8" w:space="0" w:color="auto"/>
            </w:tcBorders>
            <w:shd w:val="clear" w:color="auto" w:fill="auto"/>
            <w:noWrap/>
            <w:vAlign w:val="bottom"/>
            <w:hideMark/>
          </w:tcPr>
          <w:p w14:paraId="0D1B0EE5"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5</w:t>
            </w:r>
          </w:p>
        </w:tc>
      </w:tr>
      <w:tr w:rsidR="004D596E" w:rsidRPr="007148A6" w14:paraId="41D25F2D" w14:textId="77777777" w:rsidTr="004860F2">
        <w:trPr>
          <w:trHeight w:val="300"/>
        </w:trPr>
        <w:tc>
          <w:tcPr>
            <w:tcW w:w="2117" w:type="dxa"/>
            <w:tcBorders>
              <w:top w:val="nil"/>
              <w:left w:val="single" w:sz="8" w:space="0" w:color="auto"/>
              <w:bottom w:val="nil"/>
              <w:right w:val="single" w:sz="4" w:space="0" w:color="auto"/>
            </w:tcBorders>
            <w:shd w:val="clear" w:color="auto" w:fill="E7E6E6" w:themeFill="background2"/>
            <w:noWrap/>
            <w:vAlign w:val="bottom"/>
            <w:hideMark/>
          </w:tcPr>
          <w:p w14:paraId="2B3BC5BC" w14:textId="77777777" w:rsidR="004D596E" w:rsidRPr="00B15674" w:rsidRDefault="004D596E" w:rsidP="005F479F">
            <w:pPr>
              <w:spacing w:after="0" w:line="240" w:lineRule="auto"/>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MENDOZA</w:t>
            </w:r>
          </w:p>
        </w:tc>
        <w:tc>
          <w:tcPr>
            <w:tcW w:w="0" w:type="auto"/>
            <w:tcBorders>
              <w:top w:val="nil"/>
              <w:left w:val="nil"/>
              <w:bottom w:val="nil"/>
              <w:right w:val="single" w:sz="4" w:space="0" w:color="auto"/>
            </w:tcBorders>
            <w:shd w:val="clear" w:color="auto" w:fill="auto"/>
            <w:noWrap/>
            <w:vAlign w:val="bottom"/>
            <w:hideMark/>
          </w:tcPr>
          <w:p w14:paraId="2F1D87C7"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1.969.982</w:t>
            </w:r>
          </w:p>
        </w:tc>
        <w:tc>
          <w:tcPr>
            <w:tcW w:w="0" w:type="auto"/>
            <w:tcBorders>
              <w:top w:val="nil"/>
              <w:left w:val="single" w:sz="4" w:space="0" w:color="auto"/>
              <w:bottom w:val="nil"/>
              <w:right w:val="single" w:sz="4" w:space="0" w:color="auto"/>
            </w:tcBorders>
            <w:shd w:val="clear" w:color="auto" w:fill="auto"/>
            <w:noWrap/>
            <w:vAlign w:val="bottom"/>
            <w:hideMark/>
          </w:tcPr>
          <w:p w14:paraId="1AEEA5E7"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59.390,40</w:t>
            </w:r>
          </w:p>
        </w:tc>
        <w:tc>
          <w:tcPr>
            <w:tcW w:w="0" w:type="auto"/>
            <w:tcBorders>
              <w:top w:val="nil"/>
              <w:left w:val="single" w:sz="4" w:space="0" w:color="auto"/>
              <w:bottom w:val="nil"/>
              <w:right w:val="single" w:sz="4" w:space="0" w:color="auto"/>
            </w:tcBorders>
            <w:shd w:val="clear" w:color="auto" w:fill="auto"/>
            <w:noWrap/>
            <w:vAlign w:val="bottom"/>
            <w:hideMark/>
          </w:tcPr>
          <w:p w14:paraId="505F42C5"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30.148</w:t>
            </w:r>
          </w:p>
        </w:tc>
        <w:tc>
          <w:tcPr>
            <w:tcW w:w="0" w:type="auto"/>
            <w:tcBorders>
              <w:top w:val="nil"/>
              <w:left w:val="single" w:sz="4" w:space="0" w:color="auto"/>
              <w:bottom w:val="nil"/>
              <w:right w:val="single" w:sz="4" w:space="0" w:color="auto"/>
            </w:tcBorders>
            <w:shd w:val="clear" w:color="auto" w:fill="auto"/>
            <w:noWrap/>
            <w:vAlign w:val="bottom"/>
            <w:hideMark/>
          </w:tcPr>
          <w:p w14:paraId="71914DB7"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4,38%</w:t>
            </w:r>
          </w:p>
        </w:tc>
        <w:tc>
          <w:tcPr>
            <w:tcW w:w="0" w:type="auto"/>
            <w:tcBorders>
              <w:top w:val="nil"/>
              <w:left w:val="single" w:sz="4" w:space="0" w:color="auto"/>
              <w:bottom w:val="nil"/>
              <w:right w:val="nil"/>
            </w:tcBorders>
            <w:shd w:val="clear" w:color="auto" w:fill="auto"/>
            <w:noWrap/>
            <w:vAlign w:val="bottom"/>
            <w:hideMark/>
          </w:tcPr>
          <w:p w14:paraId="6E5F50A0"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3,84%</w:t>
            </w:r>
          </w:p>
        </w:tc>
        <w:tc>
          <w:tcPr>
            <w:tcW w:w="0" w:type="auto"/>
            <w:tcBorders>
              <w:top w:val="nil"/>
              <w:left w:val="single" w:sz="4" w:space="0" w:color="auto"/>
              <w:bottom w:val="nil"/>
              <w:right w:val="single" w:sz="4" w:space="0" w:color="auto"/>
            </w:tcBorders>
            <w:shd w:val="clear" w:color="auto" w:fill="auto"/>
            <w:noWrap/>
            <w:vAlign w:val="bottom"/>
            <w:hideMark/>
          </w:tcPr>
          <w:p w14:paraId="59A500BC"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5</w:t>
            </w:r>
          </w:p>
        </w:tc>
        <w:tc>
          <w:tcPr>
            <w:tcW w:w="0" w:type="auto"/>
            <w:tcBorders>
              <w:top w:val="nil"/>
              <w:left w:val="single" w:sz="4" w:space="0" w:color="auto"/>
              <w:bottom w:val="nil"/>
              <w:right w:val="single" w:sz="4" w:space="0" w:color="auto"/>
            </w:tcBorders>
            <w:shd w:val="clear" w:color="auto" w:fill="auto"/>
            <w:noWrap/>
            <w:vAlign w:val="bottom"/>
            <w:hideMark/>
          </w:tcPr>
          <w:p w14:paraId="2A1A1AD1"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8</w:t>
            </w:r>
          </w:p>
        </w:tc>
        <w:tc>
          <w:tcPr>
            <w:tcW w:w="0" w:type="auto"/>
            <w:tcBorders>
              <w:top w:val="nil"/>
              <w:left w:val="single" w:sz="4" w:space="0" w:color="auto"/>
              <w:bottom w:val="nil"/>
              <w:right w:val="single" w:sz="8" w:space="0" w:color="auto"/>
            </w:tcBorders>
            <w:shd w:val="clear" w:color="auto" w:fill="auto"/>
            <w:noWrap/>
            <w:vAlign w:val="bottom"/>
            <w:hideMark/>
          </w:tcPr>
          <w:p w14:paraId="46839AB1"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22</w:t>
            </w:r>
          </w:p>
        </w:tc>
      </w:tr>
      <w:tr w:rsidR="004D596E" w:rsidRPr="007148A6" w14:paraId="2B2B1C0F" w14:textId="77777777" w:rsidTr="004860F2">
        <w:trPr>
          <w:trHeight w:val="300"/>
        </w:trPr>
        <w:tc>
          <w:tcPr>
            <w:tcW w:w="2117" w:type="dxa"/>
            <w:tcBorders>
              <w:top w:val="nil"/>
              <w:left w:val="single" w:sz="8" w:space="0" w:color="auto"/>
              <w:bottom w:val="nil"/>
              <w:right w:val="single" w:sz="4" w:space="0" w:color="auto"/>
            </w:tcBorders>
            <w:shd w:val="clear" w:color="auto" w:fill="E7E6E6" w:themeFill="background2"/>
            <w:noWrap/>
            <w:vAlign w:val="bottom"/>
            <w:hideMark/>
          </w:tcPr>
          <w:p w14:paraId="3E9A2A3F" w14:textId="77777777" w:rsidR="004D596E" w:rsidRPr="00B15674" w:rsidRDefault="004D596E" w:rsidP="005F479F">
            <w:pPr>
              <w:spacing w:after="0" w:line="240" w:lineRule="auto"/>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MISIONES</w:t>
            </w:r>
          </w:p>
        </w:tc>
        <w:tc>
          <w:tcPr>
            <w:tcW w:w="0" w:type="auto"/>
            <w:tcBorders>
              <w:top w:val="nil"/>
              <w:left w:val="nil"/>
              <w:bottom w:val="nil"/>
              <w:right w:val="single" w:sz="4" w:space="0" w:color="auto"/>
            </w:tcBorders>
            <w:shd w:val="clear" w:color="auto" w:fill="auto"/>
            <w:noWrap/>
            <w:vAlign w:val="bottom"/>
            <w:hideMark/>
          </w:tcPr>
          <w:p w14:paraId="3B53981E"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1.247.362</w:t>
            </w:r>
          </w:p>
        </w:tc>
        <w:tc>
          <w:tcPr>
            <w:tcW w:w="0" w:type="auto"/>
            <w:tcBorders>
              <w:top w:val="nil"/>
              <w:left w:val="single" w:sz="4" w:space="0" w:color="auto"/>
              <w:bottom w:val="nil"/>
              <w:right w:val="single" w:sz="4" w:space="0" w:color="auto"/>
            </w:tcBorders>
            <w:shd w:val="clear" w:color="auto" w:fill="auto"/>
            <w:noWrap/>
            <w:vAlign w:val="bottom"/>
            <w:hideMark/>
          </w:tcPr>
          <w:p w14:paraId="10FF7996"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47.604,13</w:t>
            </w:r>
          </w:p>
        </w:tc>
        <w:tc>
          <w:tcPr>
            <w:tcW w:w="0" w:type="auto"/>
            <w:tcBorders>
              <w:top w:val="nil"/>
              <w:left w:val="single" w:sz="4" w:space="0" w:color="auto"/>
              <w:bottom w:val="nil"/>
              <w:right w:val="single" w:sz="4" w:space="0" w:color="auto"/>
            </w:tcBorders>
            <w:shd w:val="clear" w:color="auto" w:fill="auto"/>
            <w:noWrap/>
            <w:vAlign w:val="bottom"/>
            <w:hideMark/>
          </w:tcPr>
          <w:p w14:paraId="33E83C4B"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38.164</w:t>
            </w:r>
          </w:p>
        </w:tc>
        <w:tc>
          <w:tcPr>
            <w:tcW w:w="0" w:type="auto"/>
            <w:tcBorders>
              <w:top w:val="nil"/>
              <w:left w:val="single" w:sz="4" w:space="0" w:color="auto"/>
              <w:bottom w:val="nil"/>
              <w:right w:val="single" w:sz="4" w:space="0" w:color="auto"/>
            </w:tcBorders>
            <w:shd w:val="clear" w:color="auto" w:fill="auto"/>
            <w:noWrap/>
            <w:vAlign w:val="bottom"/>
            <w:hideMark/>
          </w:tcPr>
          <w:p w14:paraId="6F5DEA0D"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2,78%</w:t>
            </w:r>
          </w:p>
        </w:tc>
        <w:tc>
          <w:tcPr>
            <w:tcW w:w="0" w:type="auto"/>
            <w:tcBorders>
              <w:top w:val="nil"/>
              <w:left w:val="single" w:sz="4" w:space="0" w:color="auto"/>
              <w:bottom w:val="nil"/>
              <w:right w:val="nil"/>
            </w:tcBorders>
            <w:shd w:val="clear" w:color="auto" w:fill="auto"/>
            <w:noWrap/>
            <w:vAlign w:val="bottom"/>
            <w:hideMark/>
          </w:tcPr>
          <w:p w14:paraId="00E8E8A4"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3,08%</w:t>
            </w:r>
          </w:p>
        </w:tc>
        <w:tc>
          <w:tcPr>
            <w:tcW w:w="0" w:type="auto"/>
            <w:tcBorders>
              <w:top w:val="nil"/>
              <w:left w:val="single" w:sz="4" w:space="0" w:color="auto"/>
              <w:bottom w:val="nil"/>
              <w:right w:val="single" w:sz="4" w:space="0" w:color="auto"/>
            </w:tcBorders>
            <w:shd w:val="clear" w:color="auto" w:fill="auto"/>
            <w:noWrap/>
            <w:vAlign w:val="bottom"/>
            <w:hideMark/>
          </w:tcPr>
          <w:p w14:paraId="02318F0F"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9</w:t>
            </w:r>
          </w:p>
        </w:tc>
        <w:tc>
          <w:tcPr>
            <w:tcW w:w="0" w:type="auto"/>
            <w:tcBorders>
              <w:top w:val="nil"/>
              <w:left w:val="single" w:sz="4" w:space="0" w:color="auto"/>
              <w:bottom w:val="nil"/>
              <w:right w:val="single" w:sz="4" w:space="0" w:color="auto"/>
            </w:tcBorders>
            <w:shd w:val="clear" w:color="auto" w:fill="auto"/>
            <w:noWrap/>
            <w:vAlign w:val="bottom"/>
            <w:hideMark/>
          </w:tcPr>
          <w:p w14:paraId="4249DDC2"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14</w:t>
            </w:r>
          </w:p>
        </w:tc>
        <w:tc>
          <w:tcPr>
            <w:tcW w:w="0" w:type="auto"/>
            <w:tcBorders>
              <w:top w:val="nil"/>
              <w:left w:val="single" w:sz="4" w:space="0" w:color="auto"/>
              <w:bottom w:val="nil"/>
              <w:right w:val="single" w:sz="8" w:space="0" w:color="auto"/>
            </w:tcBorders>
            <w:shd w:val="clear" w:color="auto" w:fill="auto"/>
            <w:noWrap/>
            <w:vAlign w:val="bottom"/>
            <w:hideMark/>
          </w:tcPr>
          <w:p w14:paraId="26CD405E"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19</w:t>
            </w:r>
          </w:p>
        </w:tc>
      </w:tr>
      <w:tr w:rsidR="004D596E" w:rsidRPr="007148A6" w14:paraId="2DC4A4F9" w14:textId="77777777" w:rsidTr="004860F2">
        <w:trPr>
          <w:trHeight w:val="300"/>
        </w:trPr>
        <w:tc>
          <w:tcPr>
            <w:tcW w:w="2117" w:type="dxa"/>
            <w:tcBorders>
              <w:top w:val="nil"/>
              <w:left w:val="single" w:sz="8" w:space="0" w:color="auto"/>
              <w:bottom w:val="nil"/>
              <w:right w:val="single" w:sz="4" w:space="0" w:color="auto"/>
            </w:tcBorders>
            <w:shd w:val="clear" w:color="auto" w:fill="E7E6E6" w:themeFill="background2"/>
            <w:noWrap/>
            <w:vAlign w:val="bottom"/>
            <w:hideMark/>
          </w:tcPr>
          <w:p w14:paraId="2FE030FC" w14:textId="77777777" w:rsidR="004D596E" w:rsidRPr="00B15674" w:rsidRDefault="004D596E" w:rsidP="005F479F">
            <w:pPr>
              <w:spacing w:after="0" w:line="240" w:lineRule="auto"/>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NEUQUÉN</w:t>
            </w:r>
          </w:p>
        </w:tc>
        <w:tc>
          <w:tcPr>
            <w:tcW w:w="0" w:type="auto"/>
            <w:tcBorders>
              <w:top w:val="nil"/>
              <w:left w:val="nil"/>
              <w:bottom w:val="nil"/>
              <w:right w:val="single" w:sz="4" w:space="0" w:color="auto"/>
            </w:tcBorders>
            <w:shd w:val="clear" w:color="auto" w:fill="auto"/>
            <w:noWrap/>
            <w:vAlign w:val="bottom"/>
            <w:hideMark/>
          </w:tcPr>
          <w:p w14:paraId="46C3FC9A"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655.501</w:t>
            </w:r>
          </w:p>
        </w:tc>
        <w:tc>
          <w:tcPr>
            <w:tcW w:w="0" w:type="auto"/>
            <w:tcBorders>
              <w:top w:val="nil"/>
              <w:left w:val="single" w:sz="4" w:space="0" w:color="auto"/>
              <w:bottom w:val="nil"/>
              <w:right w:val="single" w:sz="4" w:space="0" w:color="auto"/>
            </w:tcBorders>
            <w:shd w:val="clear" w:color="auto" w:fill="auto"/>
            <w:noWrap/>
            <w:vAlign w:val="bottom"/>
            <w:hideMark/>
          </w:tcPr>
          <w:p w14:paraId="67BE7D9B"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25.510,11</w:t>
            </w:r>
          </w:p>
        </w:tc>
        <w:tc>
          <w:tcPr>
            <w:tcW w:w="0" w:type="auto"/>
            <w:tcBorders>
              <w:top w:val="nil"/>
              <w:left w:val="single" w:sz="4" w:space="0" w:color="auto"/>
              <w:bottom w:val="nil"/>
              <w:right w:val="single" w:sz="4" w:space="0" w:color="auto"/>
            </w:tcBorders>
            <w:shd w:val="clear" w:color="auto" w:fill="auto"/>
            <w:noWrap/>
            <w:vAlign w:val="bottom"/>
            <w:hideMark/>
          </w:tcPr>
          <w:p w14:paraId="11E57F19"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38.917</w:t>
            </w:r>
          </w:p>
        </w:tc>
        <w:tc>
          <w:tcPr>
            <w:tcW w:w="0" w:type="auto"/>
            <w:tcBorders>
              <w:top w:val="nil"/>
              <w:left w:val="single" w:sz="4" w:space="0" w:color="auto"/>
              <w:bottom w:val="nil"/>
              <w:right w:val="single" w:sz="4" w:space="0" w:color="auto"/>
            </w:tcBorders>
            <w:shd w:val="clear" w:color="auto" w:fill="auto"/>
            <w:noWrap/>
            <w:vAlign w:val="bottom"/>
            <w:hideMark/>
          </w:tcPr>
          <w:p w14:paraId="2C49A91E"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1,46%</w:t>
            </w:r>
          </w:p>
        </w:tc>
        <w:tc>
          <w:tcPr>
            <w:tcW w:w="0" w:type="auto"/>
            <w:tcBorders>
              <w:top w:val="nil"/>
              <w:left w:val="single" w:sz="4" w:space="0" w:color="auto"/>
              <w:bottom w:val="nil"/>
              <w:right w:val="nil"/>
            </w:tcBorders>
            <w:shd w:val="clear" w:color="auto" w:fill="auto"/>
            <w:noWrap/>
            <w:vAlign w:val="bottom"/>
            <w:hideMark/>
          </w:tcPr>
          <w:p w14:paraId="20E99EDF"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1,65%</w:t>
            </w:r>
          </w:p>
        </w:tc>
        <w:tc>
          <w:tcPr>
            <w:tcW w:w="0" w:type="auto"/>
            <w:tcBorders>
              <w:top w:val="nil"/>
              <w:left w:val="single" w:sz="4" w:space="0" w:color="auto"/>
              <w:bottom w:val="nil"/>
              <w:right w:val="single" w:sz="4" w:space="0" w:color="auto"/>
            </w:tcBorders>
            <w:shd w:val="clear" w:color="auto" w:fill="auto"/>
            <w:noWrap/>
            <w:vAlign w:val="bottom"/>
            <w:hideMark/>
          </w:tcPr>
          <w:p w14:paraId="3D80829D"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16</w:t>
            </w:r>
          </w:p>
        </w:tc>
        <w:tc>
          <w:tcPr>
            <w:tcW w:w="0" w:type="auto"/>
            <w:tcBorders>
              <w:top w:val="nil"/>
              <w:left w:val="single" w:sz="4" w:space="0" w:color="auto"/>
              <w:bottom w:val="nil"/>
              <w:right w:val="single" w:sz="4" w:space="0" w:color="auto"/>
            </w:tcBorders>
            <w:shd w:val="clear" w:color="auto" w:fill="auto"/>
            <w:noWrap/>
            <w:vAlign w:val="bottom"/>
            <w:hideMark/>
          </w:tcPr>
          <w:p w14:paraId="061FA452"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21</w:t>
            </w:r>
          </w:p>
        </w:tc>
        <w:tc>
          <w:tcPr>
            <w:tcW w:w="0" w:type="auto"/>
            <w:tcBorders>
              <w:top w:val="nil"/>
              <w:left w:val="single" w:sz="4" w:space="0" w:color="auto"/>
              <w:bottom w:val="nil"/>
              <w:right w:val="single" w:sz="8" w:space="0" w:color="auto"/>
            </w:tcBorders>
            <w:shd w:val="clear" w:color="auto" w:fill="auto"/>
            <w:noWrap/>
            <w:vAlign w:val="bottom"/>
            <w:hideMark/>
          </w:tcPr>
          <w:p w14:paraId="06EF84C1"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16</w:t>
            </w:r>
          </w:p>
        </w:tc>
      </w:tr>
      <w:tr w:rsidR="004D596E" w:rsidRPr="007148A6" w14:paraId="01CA2A6C" w14:textId="77777777" w:rsidTr="004860F2">
        <w:trPr>
          <w:trHeight w:val="300"/>
        </w:trPr>
        <w:tc>
          <w:tcPr>
            <w:tcW w:w="2117" w:type="dxa"/>
            <w:tcBorders>
              <w:top w:val="nil"/>
              <w:left w:val="single" w:sz="8" w:space="0" w:color="auto"/>
              <w:bottom w:val="nil"/>
              <w:right w:val="single" w:sz="4" w:space="0" w:color="auto"/>
            </w:tcBorders>
            <w:shd w:val="clear" w:color="auto" w:fill="E7E6E6" w:themeFill="background2"/>
            <w:noWrap/>
            <w:vAlign w:val="bottom"/>
            <w:hideMark/>
          </w:tcPr>
          <w:p w14:paraId="6BF9BB85" w14:textId="77777777" w:rsidR="004D596E" w:rsidRPr="00B15674" w:rsidRDefault="004D596E" w:rsidP="005F479F">
            <w:pPr>
              <w:spacing w:after="0" w:line="240" w:lineRule="auto"/>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RÍO NEGRO</w:t>
            </w:r>
          </w:p>
        </w:tc>
        <w:tc>
          <w:tcPr>
            <w:tcW w:w="0" w:type="auto"/>
            <w:tcBorders>
              <w:top w:val="nil"/>
              <w:left w:val="nil"/>
              <w:bottom w:val="nil"/>
              <w:right w:val="single" w:sz="4" w:space="0" w:color="auto"/>
            </w:tcBorders>
            <w:shd w:val="clear" w:color="auto" w:fill="auto"/>
            <w:noWrap/>
            <w:vAlign w:val="bottom"/>
            <w:hideMark/>
          </w:tcPr>
          <w:p w14:paraId="669BE010"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738.060</w:t>
            </w:r>
          </w:p>
        </w:tc>
        <w:tc>
          <w:tcPr>
            <w:tcW w:w="0" w:type="auto"/>
            <w:tcBorders>
              <w:top w:val="nil"/>
              <w:left w:val="single" w:sz="4" w:space="0" w:color="auto"/>
              <w:bottom w:val="nil"/>
              <w:right w:val="single" w:sz="4" w:space="0" w:color="auto"/>
            </w:tcBorders>
            <w:shd w:val="clear" w:color="auto" w:fill="auto"/>
            <w:noWrap/>
            <w:vAlign w:val="bottom"/>
            <w:hideMark/>
          </w:tcPr>
          <w:p w14:paraId="04EFC4AC"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36.380,06</w:t>
            </w:r>
          </w:p>
        </w:tc>
        <w:tc>
          <w:tcPr>
            <w:tcW w:w="0" w:type="auto"/>
            <w:tcBorders>
              <w:top w:val="nil"/>
              <w:left w:val="single" w:sz="4" w:space="0" w:color="auto"/>
              <w:bottom w:val="nil"/>
              <w:right w:val="single" w:sz="4" w:space="0" w:color="auto"/>
            </w:tcBorders>
            <w:shd w:val="clear" w:color="auto" w:fill="auto"/>
            <w:noWrap/>
            <w:vAlign w:val="bottom"/>
            <w:hideMark/>
          </w:tcPr>
          <w:p w14:paraId="7D589B73"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49.291</w:t>
            </w:r>
          </w:p>
        </w:tc>
        <w:tc>
          <w:tcPr>
            <w:tcW w:w="0" w:type="auto"/>
            <w:tcBorders>
              <w:top w:val="nil"/>
              <w:left w:val="single" w:sz="4" w:space="0" w:color="auto"/>
              <w:bottom w:val="nil"/>
              <w:right w:val="single" w:sz="4" w:space="0" w:color="auto"/>
            </w:tcBorders>
            <w:shd w:val="clear" w:color="auto" w:fill="auto"/>
            <w:noWrap/>
            <w:vAlign w:val="bottom"/>
            <w:hideMark/>
          </w:tcPr>
          <w:p w14:paraId="4B5087FB"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1,64%</w:t>
            </w:r>
          </w:p>
        </w:tc>
        <w:tc>
          <w:tcPr>
            <w:tcW w:w="0" w:type="auto"/>
            <w:tcBorders>
              <w:top w:val="nil"/>
              <w:left w:val="single" w:sz="4" w:space="0" w:color="auto"/>
              <w:bottom w:val="nil"/>
              <w:right w:val="nil"/>
            </w:tcBorders>
            <w:shd w:val="clear" w:color="auto" w:fill="auto"/>
            <w:noWrap/>
            <w:vAlign w:val="bottom"/>
            <w:hideMark/>
          </w:tcPr>
          <w:p w14:paraId="6B7D961A"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2,35%</w:t>
            </w:r>
          </w:p>
        </w:tc>
        <w:tc>
          <w:tcPr>
            <w:tcW w:w="0" w:type="auto"/>
            <w:tcBorders>
              <w:top w:val="nil"/>
              <w:left w:val="single" w:sz="4" w:space="0" w:color="auto"/>
              <w:bottom w:val="nil"/>
              <w:right w:val="single" w:sz="4" w:space="0" w:color="auto"/>
            </w:tcBorders>
            <w:shd w:val="clear" w:color="auto" w:fill="auto"/>
            <w:noWrap/>
            <w:vAlign w:val="bottom"/>
            <w:hideMark/>
          </w:tcPr>
          <w:p w14:paraId="4BF44F31"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15</w:t>
            </w:r>
          </w:p>
        </w:tc>
        <w:tc>
          <w:tcPr>
            <w:tcW w:w="0" w:type="auto"/>
            <w:tcBorders>
              <w:top w:val="nil"/>
              <w:left w:val="single" w:sz="4" w:space="0" w:color="auto"/>
              <w:bottom w:val="nil"/>
              <w:right w:val="single" w:sz="4" w:space="0" w:color="auto"/>
            </w:tcBorders>
            <w:shd w:val="clear" w:color="auto" w:fill="auto"/>
            <w:noWrap/>
            <w:vAlign w:val="bottom"/>
            <w:hideMark/>
          </w:tcPr>
          <w:p w14:paraId="768EEC6E"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17</w:t>
            </w:r>
          </w:p>
        </w:tc>
        <w:tc>
          <w:tcPr>
            <w:tcW w:w="0" w:type="auto"/>
            <w:tcBorders>
              <w:top w:val="nil"/>
              <w:left w:val="single" w:sz="4" w:space="0" w:color="auto"/>
              <w:bottom w:val="nil"/>
              <w:right w:val="single" w:sz="8" w:space="0" w:color="auto"/>
            </w:tcBorders>
            <w:shd w:val="clear" w:color="auto" w:fill="auto"/>
            <w:noWrap/>
            <w:vAlign w:val="bottom"/>
            <w:hideMark/>
          </w:tcPr>
          <w:p w14:paraId="64112BCC"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13</w:t>
            </w:r>
          </w:p>
        </w:tc>
      </w:tr>
      <w:tr w:rsidR="004D596E" w:rsidRPr="007148A6" w14:paraId="6A38D779" w14:textId="77777777" w:rsidTr="004860F2">
        <w:trPr>
          <w:trHeight w:val="300"/>
        </w:trPr>
        <w:tc>
          <w:tcPr>
            <w:tcW w:w="2117" w:type="dxa"/>
            <w:tcBorders>
              <w:top w:val="nil"/>
              <w:left w:val="single" w:sz="8" w:space="0" w:color="auto"/>
              <w:bottom w:val="nil"/>
              <w:right w:val="single" w:sz="4" w:space="0" w:color="auto"/>
            </w:tcBorders>
            <w:shd w:val="clear" w:color="auto" w:fill="E7E6E6" w:themeFill="background2"/>
            <w:noWrap/>
            <w:vAlign w:val="bottom"/>
            <w:hideMark/>
          </w:tcPr>
          <w:p w14:paraId="43CA27A2" w14:textId="77777777" w:rsidR="004D596E" w:rsidRPr="00B15674" w:rsidRDefault="004D596E" w:rsidP="005F479F">
            <w:pPr>
              <w:spacing w:after="0" w:line="240" w:lineRule="auto"/>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SALTA</w:t>
            </w:r>
          </w:p>
        </w:tc>
        <w:tc>
          <w:tcPr>
            <w:tcW w:w="0" w:type="auto"/>
            <w:tcBorders>
              <w:top w:val="nil"/>
              <w:left w:val="nil"/>
              <w:bottom w:val="nil"/>
              <w:right w:val="single" w:sz="4" w:space="0" w:color="auto"/>
            </w:tcBorders>
            <w:shd w:val="clear" w:color="auto" w:fill="auto"/>
            <w:noWrap/>
            <w:vAlign w:val="bottom"/>
            <w:hideMark/>
          </w:tcPr>
          <w:p w14:paraId="3D5F46C0"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1.406.584</w:t>
            </w:r>
          </w:p>
        </w:tc>
        <w:tc>
          <w:tcPr>
            <w:tcW w:w="0" w:type="auto"/>
            <w:tcBorders>
              <w:top w:val="nil"/>
              <w:left w:val="single" w:sz="4" w:space="0" w:color="auto"/>
              <w:bottom w:val="nil"/>
              <w:right w:val="single" w:sz="4" w:space="0" w:color="auto"/>
            </w:tcBorders>
            <w:shd w:val="clear" w:color="auto" w:fill="auto"/>
            <w:noWrap/>
            <w:vAlign w:val="bottom"/>
            <w:hideMark/>
          </w:tcPr>
          <w:p w14:paraId="0B29F684"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54.591,10</w:t>
            </w:r>
          </w:p>
        </w:tc>
        <w:tc>
          <w:tcPr>
            <w:tcW w:w="0" w:type="auto"/>
            <w:tcBorders>
              <w:top w:val="nil"/>
              <w:left w:val="single" w:sz="4" w:space="0" w:color="auto"/>
              <w:bottom w:val="nil"/>
              <w:right w:val="single" w:sz="4" w:space="0" w:color="auto"/>
            </w:tcBorders>
            <w:shd w:val="clear" w:color="auto" w:fill="auto"/>
            <w:noWrap/>
            <w:vAlign w:val="bottom"/>
            <w:hideMark/>
          </w:tcPr>
          <w:p w14:paraId="63E2D35C"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38.811</w:t>
            </w:r>
          </w:p>
        </w:tc>
        <w:tc>
          <w:tcPr>
            <w:tcW w:w="0" w:type="auto"/>
            <w:tcBorders>
              <w:top w:val="nil"/>
              <w:left w:val="single" w:sz="4" w:space="0" w:color="auto"/>
              <w:bottom w:val="nil"/>
              <w:right w:val="single" w:sz="4" w:space="0" w:color="auto"/>
            </w:tcBorders>
            <w:shd w:val="clear" w:color="auto" w:fill="auto"/>
            <w:noWrap/>
            <w:vAlign w:val="bottom"/>
            <w:hideMark/>
          </w:tcPr>
          <w:p w14:paraId="0FD34D1D"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3,13%</w:t>
            </w:r>
          </w:p>
        </w:tc>
        <w:tc>
          <w:tcPr>
            <w:tcW w:w="0" w:type="auto"/>
            <w:tcBorders>
              <w:top w:val="nil"/>
              <w:left w:val="single" w:sz="4" w:space="0" w:color="auto"/>
              <w:bottom w:val="nil"/>
              <w:right w:val="nil"/>
            </w:tcBorders>
            <w:shd w:val="clear" w:color="auto" w:fill="auto"/>
            <w:noWrap/>
            <w:vAlign w:val="bottom"/>
            <w:hideMark/>
          </w:tcPr>
          <w:p w14:paraId="3841F919"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3,53%</w:t>
            </w:r>
          </w:p>
        </w:tc>
        <w:tc>
          <w:tcPr>
            <w:tcW w:w="0" w:type="auto"/>
            <w:tcBorders>
              <w:top w:val="nil"/>
              <w:left w:val="single" w:sz="4" w:space="0" w:color="auto"/>
              <w:bottom w:val="nil"/>
              <w:right w:val="single" w:sz="4" w:space="0" w:color="auto"/>
            </w:tcBorders>
            <w:shd w:val="clear" w:color="auto" w:fill="auto"/>
            <w:noWrap/>
            <w:vAlign w:val="bottom"/>
            <w:hideMark/>
          </w:tcPr>
          <w:p w14:paraId="55FE0A53"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7</w:t>
            </w:r>
          </w:p>
        </w:tc>
        <w:tc>
          <w:tcPr>
            <w:tcW w:w="0" w:type="auto"/>
            <w:tcBorders>
              <w:top w:val="nil"/>
              <w:left w:val="single" w:sz="4" w:space="0" w:color="auto"/>
              <w:bottom w:val="nil"/>
              <w:right w:val="single" w:sz="4" w:space="0" w:color="auto"/>
            </w:tcBorders>
            <w:shd w:val="clear" w:color="auto" w:fill="auto"/>
            <w:noWrap/>
            <w:vAlign w:val="bottom"/>
            <w:hideMark/>
          </w:tcPr>
          <w:p w14:paraId="0DDEEE9E"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10</w:t>
            </w:r>
          </w:p>
        </w:tc>
        <w:tc>
          <w:tcPr>
            <w:tcW w:w="0" w:type="auto"/>
            <w:tcBorders>
              <w:top w:val="nil"/>
              <w:left w:val="single" w:sz="4" w:space="0" w:color="auto"/>
              <w:bottom w:val="nil"/>
              <w:right w:val="single" w:sz="8" w:space="0" w:color="auto"/>
            </w:tcBorders>
            <w:shd w:val="clear" w:color="auto" w:fill="auto"/>
            <w:noWrap/>
            <w:vAlign w:val="bottom"/>
            <w:hideMark/>
          </w:tcPr>
          <w:p w14:paraId="3C74DC6B"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17</w:t>
            </w:r>
          </w:p>
        </w:tc>
      </w:tr>
      <w:tr w:rsidR="004D596E" w:rsidRPr="007148A6" w14:paraId="214F5A93" w14:textId="77777777" w:rsidTr="004860F2">
        <w:trPr>
          <w:trHeight w:val="300"/>
        </w:trPr>
        <w:tc>
          <w:tcPr>
            <w:tcW w:w="2117" w:type="dxa"/>
            <w:tcBorders>
              <w:top w:val="nil"/>
              <w:left w:val="single" w:sz="8" w:space="0" w:color="auto"/>
              <w:bottom w:val="nil"/>
              <w:right w:val="single" w:sz="4" w:space="0" w:color="auto"/>
            </w:tcBorders>
            <w:shd w:val="clear" w:color="auto" w:fill="E7E6E6" w:themeFill="background2"/>
            <w:noWrap/>
            <w:vAlign w:val="bottom"/>
            <w:hideMark/>
          </w:tcPr>
          <w:p w14:paraId="21AF3EA9" w14:textId="77777777" w:rsidR="004D596E" w:rsidRPr="00B15674" w:rsidRDefault="004D596E" w:rsidP="005F479F">
            <w:pPr>
              <w:spacing w:after="0" w:line="240" w:lineRule="auto"/>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SAN JUAN</w:t>
            </w:r>
          </w:p>
        </w:tc>
        <w:tc>
          <w:tcPr>
            <w:tcW w:w="0" w:type="auto"/>
            <w:tcBorders>
              <w:top w:val="nil"/>
              <w:left w:val="nil"/>
              <w:bottom w:val="nil"/>
              <w:right w:val="single" w:sz="4" w:space="0" w:color="auto"/>
            </w:tcBorders>
            <w:shd w:val="clear" w:color="auto" w:fill="auto"/>
            <w:noWrap/>
            <w:vAlign w:val="bottom"/>
            <w:hideMark/>
          </w:tcPr>
          <w:p w14:paraId="5B039CFB"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772.876</w:t>
            </w:r>
          </w:p>
        </w:tc>
        <w:tc>
          <w:tcPr>
            <w:tcW w:w="0" w:type="auto"/>
            <w:tcBorders>
              <w:top w:val="nil"/>
              <w:left w:val="single" w:sz="4" w:space="0" w:color="auto"/>
              <w:bottom w:val="nil"/>
              <w:right w:val="single" w:sz="4" w:space="0" w:color="auto"/>
            </w:tcBorders>
            <w:shd w:val="clear" w:color="auto" w:fill="auto"/>
            <w:noWrap/>
            <w:vAlign w:val="bottom"/>
            <w:hideMark/>
          </w:tcPr>
          <w:p w14:paraId="34AA1CE1"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48.175,71</w:t>
            </w:r>
          </w:p>
        </w:tc>
        <w:tc>
          <w:tcPr>
            <w:tcW w:w="0" w:type="auto"/>
            <w:tcBorders>
              <w:top w:val="nil"/>
              <w:left w:val="single" w:sz="4" w:space="0" w:color="auto"/>
              <w:bottom w:val="nil"/>
              <w:right w:val="single" w:sz="4" w:space="0" w:color="auto"/>
            </w:tcBorders>
            <w:shd w:val="clear" w:color="auto" w:fill="auto"/>
            <w:noWrap/>
            <w:vAlign w:val="bottom"/>
            <w:hideMark/>
          </w:tcPr>
          <w:p w14:paraId="7D22B974"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62.333</w:t>
            </w:r>
          </w:p>
        </w:tc>
        <w:tc>
          <w:tcPr>
            <w:tcW w:w="0" w:type="auto"/>
            <w:tcBorders>
              <w:top w:val="nil"/>
              <w:left w:val="single" w:sz="4" w:space="0" w:color="auto"/>
              <w:bottom w:val="nil"/>
              <w:right w:val="single" w:sz="4" w:space="0" w:color="auto"/>
            </w:tcBorders>
            <w:shd w:val="clear" w:color="auto" w:fill="auto"/>
            <w:noWrap/>
            <w:vAlign w:val="bottom"/>
            <w:hideMark/>
          </w:tcPr>
          <w:p w14:paraId="38318F8D"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1,72%</w:t>
            </w:r>
          </w:p>
        </w:tc>
        <w:tc>
          <w:tcPr>
            <w:tcW w:w="0" w:type="auto"/>
            <w:tcBorders>
              <w:top w:val="nil"/>
              <w:left w:val="single" w:sz="4" w:space="0" w:color="auto"/>
              <w:bottom w:val="nil"/>
              <w:right w:val="nil"/>
            </w:tcBorders>
            <w:shd w:val="clear" w:color="auto" w:fill="auto"/>
            <w:noWrap/>
            <w:vAlign w:val="bottom"/>
            <w:hideMark/>
          </w:tcPr>
          <w:p w14:paraId="605CEA2A"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3,11%</w:t>
            </w:r>
          </w:p>
        </w:tc>
        <w:tc>
          <w:tcPr>
            <w:tcW w:w="0" w:type="auto"/>
            <w:tcBorders>
              <w:top w:val="nil"/>
              <w:left w:val="single" w:sz="4" w:space="0" w:color="auto"/>
              <w:bottom w:val="nil"/>
              <w:right w:val="single" w:sz="4" w:space="0" w:color="auto"/>
            </w:tcBorders>
            <w:shd w:val="clear" w:color="auto" w:fill="auto"/>
            <w:noWrap/>
            <w:vAlign w:val="bottom"/>
            <w:hideMark/>
          </w:tcPr>
          <w:p w14:paraId="67903435"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13</w:t>
            </w:r>
          </w:p>
        </w:tc>
        <w:tc>
          <w:tcPr>
            <w:tcW w:w="0" w:type="auto"/>
            <w:tcBorders>
              <w:top w:val="nil"/>
              <w:left w:val="single" w:sz="4" w:space="0" w:color="auto"/>
              <w:bottom w:val="nil"/>
              <w:right w:val="single" w:sz="4" w:space="0" w:color="auto"/>
            </w:tcBorders>
            <w:shd w:val="clear" w:color="auto" w:fill="auto"/>
            <w:noWrap/>
            <w:vAlign w:val="bottom"/>
            <w:hideMark/>
          </w:tcPr>
          <w:p w14:paraId="222FC520"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13</w:t>
            </w:r>
          </w:p>
        </w:tc>
        <w:tc>
          <w:tcPr>
            <w:tcW w:w="0" w:type="auto"/>
            <w:tcBorders>
              <w:top w:val="nil"/>
              <w:left w:val="single" w:sz="4" w:space="0" w:color="auto"/>
              <w:bottom w:val="nil"/>
              <w:right w:val="single" w:sz="8" w:space="0" w:color="auto"/>
            </w:tcBorders>
            <w:shd w:val="clear" w:color="auto" w:fill="auto"/>
            <w:noWrap/>
            <w:vAlign w:val="bottom"/>
            <w:hideMark/>
          </w:tcPr>
          <w:p w14:paraId="1DAA175F"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8</w:t>
            </w:r>
          </w:p>
        </w:tc>
      </w:tr>
      <w:tr w:rsidR="004D596E" w:rsidRPr="007148A6" w14:paraId="3E9D9BB3" w14:textId="77777777" w:rsidTr="004860F2">
        <w:trPr>
          <w:trHeight w:val="300"/>
        </w:trPr>
        <w:tc>
          <w:tcPr>
            <w:tcW w:w="2117" w:type="dxa"/>
            <w:tcBorders>
              <w:top w:val="nil"/>
              <w:left w:val="single" w:sz="8" w:space="0" w:color="auto"/>
              <w:bottom w:val="nil"/>
              <w:right w:val="single" w:sz="4" w:space="0" w:color="auto"/>
            </w:tcBorders>
            <w:shd w:val="clear" w:color="auto" w:fill="E7E6E6" w:themeFill="background2"/>
            <w:noWrap/>
            <w:vAlign w:val="bottom"/>
            <w:hideMark/>
          </w:tcPr>
          <w:p w14:paraId="7C5282AE" w14:textId="77777777" w:rsidR="004D596E" w:rsidRPr="00B15674" w:rsidRDefault="004D596E" w:rsidP="005F479F">
            <w:pPr>
              <w:spacing w:after="0" w:line="240" w:lineRule="auto"/>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SAN LUIS</w:t>
            </w:r>
          </w:p>
        </w:tc>
        <w:tc>
          <w:tcPr>
            <w:tcW w:w="0" w:type="auto"/>
            <w:tcBorders>
              <w:top w:val="nil"/>
              <w:left w:val="nil"/>
              <w:bottom w:val="nil"/>
              <w:right w:val="single" w:sz="4" w:space="0" w:color="auto"/>
            </w:tcBorders>
            <w:shd w:val="clear" w:color="auto" w:fill="auto"/>
            <w:noWrap/>
            <w:vAlign w:val="bottom"/>
            <w:hideMark/>
          </w:tcPr>
          <w:p w14:paraId="046C3FC8"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502.000</w:t>
            </w:r>
          </w:p>
        </w:tc>
        <w:tc>
          <w:tcPr>
            <w:tcW w:w="0" w:type="auto"/>
            <w:tcBorders>
              <w:top w:val="nil"/>
              <w:left w:val="single" w:sz="4" w:space="0" w:color="auto"/>
              <w:bottom w:val="nil"/>
              <w:right w:val="single" w:sz="4" w:space="0" w:color="auto"/>
            </w:tcBorders>
            <w:shd w:val="clear" w:color="auto" w:fill="auto"/>
            <w:noWrap/>
            <w:vAlign w:val="bottom"/>
            <w:hideMark/>
          </w:tcPr>
          <w:p w14:paraId="47D784CB"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33.754,33</w:t>
            </w:r>
          </w:p>
        </w:tc>
        <w:tc>
          <w:tcPr>
            <w:tcW w:w="0" w:type="auto"/>
            <w:tcBorders>
              <w:top w:val="nil"/>
              <w:left w:val="single" w:sz="4" w:space="0" w:color="auto"/>
              <w:bottom w:val="nil"/>
              <w:right w:val="single" w:sz="4" w:space="0" w:color="auto"/>
            </w:tcBorders>
            <w:shd w:val="clear" w:color="auto" w:fill="auto"/>
            <w:noWrap/>
            <w:vAlign w:val="bottom"/>
            <w:hideMark/>
          </w:tcPr>
          <w:p w14:paraId="320E2EDF"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67.240</w:t>
            </w:r>
          </w:p>
        </w:tc>
        <w:tc>
          <w:tcPr>
            <w:tcW w:w="0" w:type="auto"/>
            <w:tcBorders>
              <w:top w:val="nil"/>
              <w:left w:val="single" w:sz="4" w:space="0" w:color="auto"/>
              <w:bottom w:val="nil"/>
              <w:right w:val="single" w:sz="4" w:space="0" w:color="auto"/>
            </w:tcBorders>
            <w:shd w:val="clear" w:color="auto" w:fill="auto"/>
            <w:noWrap/>
            <w:vAlign w:val="bottom"/>
            <w:hideMark/>
          </w:tcPr>
          <w:p w14:paraId="6528F3A8"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1,12%</w:t>
            </w:r>
          </w:p>
        </w:tc>
        <w:tc>
          <w:tcPr>
            <w:tcW w:w="0" w:type="auto"/>
            <w:tcBorders>
              <w:top w:val="nil"/>
              <w:left w:val="single" w:sz="4" w:space="0" w:color="auto"/>
              <w:bottom w:val="nil"/>
              <w:right w:val="nil"/>
            </w:tcBorders>
            <w:shd w:val="clear" w:color="auto" w:fill="auto"/>
            <w:noWrap/>
            <w:vAlign w:val="bottom"/>
            <w:hideMark/>
          </w:tcPr>
          <w:p w14:paraId="6F185B48"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2,18%</w:t>
            </w:r>
          </w:p>
        </w:tc>
        <w:tc>
          <w:tcPr>
            <w:tcW w:w="0" w:type="auto"/>
            <w:tcBorders>
              <w:top w:val="nil"/>
              <w:left w:val="single" w:sz="4" w:space="0" w:color="auto"/>
              <w:bottom w:val="nil"/>
              <w:right w:val="single" w:sz="4" w:space="0" w:color="auto"/>
            </w:tcBorders>
            <w:shd w:val="clear" w:color="auto" w:fill="auto"/>
            <w:noWrap/>
            <w:vAlign w:val="bottom"/>
            <w:hideMark/>
          </w:tcPr>
          <w:p w14:paraId="1472BE8A"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19</w:t>
            </w:r>
          </w:p>
        </w:tc>
        <w:tc>
          <w:tcPr>
            <w:tcW w:w="0" w:type="auto"/>
            <w:tcBorders>
              <w:top w:val="nil"/>
              <w:left w:val="single" w:sz="4" w:space="0" w:color="auto"/>
              <w:bottom w:val="nil"/>
              <w:right w:val="single" w:sz="4" w:space="0" w:color="auto"/>
            </w:tcBorders>
            <w:shd w:val="clear" w:color="auto" w:fill="auto"/>
            <w:noWrap/>
            <w:vAlign w:val="bottom"/>
            <w:hideMark/>
          </w:tcPr>
          <w:p w14:paraId="11045E78"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18</w:t>
            </w:r>
          </w:p>
        </w:tc>
        <w:tc>
          <w:tcPr>
            <w:tcW w:w="0" w:type="auto"/>
            <w:tcBorders>
              <w:top w:val="nil"/>
              <w:left w:val="single" w:sz="4" w:space="0" w:color="auto"/>
              <w:bottom w:val="nil"/>
              <w:right w:val="single" w:sz="8" w:space="0" w:color="auto"/>
            </w:tcBorders>
            <w:shd w:val="clear" w:color="auto" w:fill="auto"/>
            <w:noWrap/>
            <w:vAlign w:val="bottom"/>
            <w:hideMark/>
          </w:tcPr>
          <w:p w14:paraId="6FA8ED1E"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6</w:t>
            </w:r>
          </w:p>
        </w:tc>
      </w:tr>
      <w:tr w:rsidR="004D596E" w:rsidRPr="007148A6" w14:paraId="73DA4229" w14:textId="77777777" w:rsidTr="004860F2">
        <w:trPr>
          <w:trHeight w:val="300"/>
        </w:trPr>
        <w:tc>
          <w:tcPr>
            <w:tcW w:w="2117" w:type="dxa"/>
            <w:tcBorders>
              <w:top w:val="nil"/>
              <w:left w:val="single" w:sz="8" w:space="0" w:color="auto"/>
              <w:bottom w:val="nil"/>
              <w:right w:val="single" w:sz="4" w:space="0" w:color="auto"/>
            </w:tcBorders>
            <w:shd w:val="clear" w:color="auto" w:fill="E7E6E6" w:themeFill="background2"/>
            <w:noWrap/>
            <w:vAlign w:val="bottom"/>
            <w:hideMark/>
          </w:tcPr>
          <w:p w14:paraId="3F6AE8FC" w14:textId="77777777" w:rsidR="004D596E" w:rsidRPr="00B15674" w:rsidRDefault="004D596E" w:rsidP="005F479F">
            <w:pPr>
              <w:spacing w:after="0" w:line="240" w:lineRule="auto"/>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SANTA CRUZ</w:t>
            </w:r>
          </w:p>
        </w:tc>
        <w:tc>
          <w:tcPr>
            <w:tcW w:w="0" w:type="auto"/>
            <w:tcBorders>
              <w:top w:val="nil"/>
              <w:left w:val="nil"/>
              <w:bottom w:val="nil"/>
              <w:right w:val="single" w:sz="4" w:space="0" w:color="auto"/>
            </w:tcBorders>
            <w:shd w:val="clear" w:color="auto" w:fill="auto"/>
            <w:noWrap/>
            <w:vAlign w:val="bottom"/>
            <w:hideMark/>
          </w:tcPr>
          <w:p w14:paraId="0378E5EA"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356.647</w:t>
            </w:r>
          </w:p>
        </w:tc>
        <w:tc>
          <w:tcPr>
            <w:tcW w:w="0" w:type="auto"/>
            <w:tcBorders>
              <w:top w:val="nil"/>
              <w:left w:val="single" w:sz="4" w:space="0" w:color="auto"/>
              <w:bottom w:val="nil"/>
              <w:right w:val="single" w:sz="4" w:space="0" w:color="auto"/>
            </w:tcBorders>
            <w:shd w:val="clear" w:color="auto" w:fill="auto"/>
            <w:noWrap/>
            <w:vAlign w:val="bottom"/>
            <w:hideMark/>
          </w:tcPr>
          <w:p w14:paraId="5018F7BB"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23.101,10</w:t>
            </w:r>
          </w:p>
        </w:tc>
        <w:tc>
          <w:tcPr>
            <w:tcW w:w="0" w:type="auto"/>
            <w:tcBorders>
              <w:top w:val="nil"/>
              <w:left w:val="single" w:sz="4" w:space="0" w:color="auto"/>
              <w:bottom w:val="nil"/>
              <w:right w:val="single" w:sz="4" w:space="0" w:color="auto"/>
            </w:tcBorders>
            <w:shd w:val="clear" w:color="auto" w:fill="auto"/>
            <w:noWrap/>
            <w:vAlign w:val="bottom"/>
            <w:hideMark/>
          </w:tcPr>
          <w:p w14:paraId="68E4A3D6"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64.773</w:t>
            </w:r>
          </w:p>
        </w:tc>
        <w:tc>
          <w:tcPr>
            <w:tcW w:w="0" w:type="auto"/>
            <w:tcBorders>
              <w:top w:val="nil"/>
              <w:left w:val="single" w:sz="4" w:space="0" w:color="auto"/>
              <w:bottom w:val="nil"/>
              <w:right w:val="single" w:sz="4" w:space="0" w:color="auto"/>
            </w:tcBorders>
            <w:shd w:val="clear" w:color="auto" w:fill="auto"/>
            <w:noWrap/>
            <w:vAlign w:val="bottom"/>
            <w:hideMark/>
          </w:tcPr>
          <w:p w14:paraId="266E3FF4"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0,79%</w:t>
            </w:r>
          </w:p>
        </w:tc>
        <w:tc>
          <w:tcPr>
            <w:tcW w:w="0" w:type="auto"/>
            <w:tcBorders>
              <w:top w:val="nil"/>
              <w:left w:val="single" w:sz="4" w:space="0" w:color="auto"/>
              <w:bottom w:val="nil"/>
              <w:right w:val="nil"/>
            </w:tcBorders>
            <w:shd w:val="clear" w:color="auto" w:fill="auto"/>
            <w:noWrap/>
            <w:vAlign w:val="bottom"/>
            <w:hideMark/>
          </w:tcPr>
          <w:p w14:paraId="6E984D1A"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1,49%</w:t>
            </w:r>
          </w:p>
        </w:tc>
        <w:tc>
          <w:tcPr>
            <w:tcW w:w="0" w:type="auto"/>
            <w:tcBorders>
              <w:top w:val="nil"/>
              <w:left w:val="single" w:sz="4" w:space="0" w:color="auto"/>
              <w:bottom w:val="nil"/>
              <w:right w:val="single" w:sz="4" w:space="0" w:color="auto"/>
            </w:tcBorders>
            <w:shd w:val="clear" w:color="auto" w:fill="auto"/>
            <w:noWrap/>
            <w:vAlign w:val="bottom"/>
            <w:hideMark/>
          </w:tcPr>
          <w:p w14:paraId="63D2DA00"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22</w:t>
            </w:r>
          </w:p>
        </w:tc>
        <w:tc>
          <w:tcPr>
            <w:tcW w:w="0" w:type="auto"/>
            <w:tcBorders>
              <w:top w:val="nil"/>
              <w:left w:val="single" w:sz="4" w:space="0" w:color="auto"/>
              <w:bottom w:val="nil"/>
              <w:right w:val="single" w:sz="4" w:space="0" w:color="auto"/>
            </w:tcBorders>
            <w:shd w:val="clear" w:color="auto" w:fill="auto"/>
            <w:noWrap/>
            <w:vAlign w:val="bottom"/>
            <w:hideMark/>
          </w:tcPr>
          <w:p w14:paraId="2B022012"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23</w:t>
            </w:r>
          </w:p>
        </w:tc>
        <w:tc>
          <w:tcPr>
            <w:tcW w:w="0" w:type="auto"/>
            <w:tcBorders>
              <w:top w:val="nil"/>
              <w:left w:val="single" w:sz="4" w:space="0" w:color="auto"/>
              <w:bottom w:val="nil"/>
              <w:right w:val="single" w:sz="8" w:space="0" w:color="auto"/>
            </w:tcBorders>
            <w:shd w:val="clear" w:color="auto" w:fill="auto"/>
            <w:noWrap/>
            <w:vAlign w:val="bottom"/>
            <w:hideMark/>
          </w:tcPr>
          <w:p w14:paraId="0B9525DD"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7</w:t>
            </w:r>
          </w:p>
        </w:tc>
      </w:tr>
      <w:tr w:rsidR="004D596E" w:rsidRPr="007148A6" w14:paraId="0E6EC95E" w14:textId="77777777" w:rsidTr="004860F2">
        <w:trPr>
          <w:trHeight w:val="300"/>
        </w:trPr>
        <w:tc>
          <w:tcPr>
            <w:tcW w:w="2117" w:type="dxa"/>
            <w:tcBorders>
              <w:top w:val="nil"/>
              <w:left w:val="single" w:sz="8" w:space="0" w:color="auto"/>
              <w:bottom w:val="nil"/>
              <w:right w:val="single" w:sz="4" w:space="0" w:color="auto"/>
            </w:tcBorders>
            <w:shd w:val="clear" w:color="auto" w:fill="E7E6E6" w:themeFill="background2"/>
            <w:noWrap/>
            <w:vAlign w:val="bottom"/>
            <w:hideMark/>
          </w:tcPr>
          <w:p w14:paraId="1729058D" w14:textId="77777777" w:rsidR="004D596E" w:rsidRPr="00B15674" w:rsidRDefault="004D596E" w:rsidP="005F479F">
            <w:pPr>
              <w:spacing w:after="0" w:line="240" w:lineRule="auto"/>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SANTA FE</w:t>
            </w:r>
          </w:p>
        </w:tc>
        <w:tc>
          <w:tcPr>
            <w:tcW w:w="0" w:type="auto"/>
            <w:tcBorders>
              <w:top w:val="nil"/>
              <w:left w:val="nil"/>
              <w:bottom w:val="nil"/>
              <w:right w:val="single" w:sz="4" w:space="0" w:color="auto"/>
            </w:tcBorders>
            <w:shd w:val="clear" w:color="auto" w:fill="auto"/>
            <w:noWrap/>
            <w:vAlign w:val="bottom"/>
            <w:hideMark/>
          </w:tcPr>
          <w:p w14:paraId="1BC6A002"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3.509.113</w:t>
            </w:r>
          </w:p>
        </w:tc>
        <w:tc>
          <w:tcPr>
            <w:tcW w:w="0" w:type="auto"/>
            <w:tcBorders>
              <w:top w:val="nil"/>
              <w:left w:val="single" w:sz="4" w:space="0" w:color="auto"/>
              <w:bottom w:val="nil"/>
              <w:right w:val="single" w:sz="4" w:space="0" w:color="auto"/>
            </w:tcBorders>
            <w:shd w:val="clear" w:color="auto" w:fill="auto"/>
            <w:noWrap/>
            <w:vAlign w:val="bottom"/>
            <w:hideMark/>
          </w:tcPr>
          <w:p w14:paraId="2DF51F88"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134.459,55</w:t>
            </w:r>
          </w:p>
        </w:tc>
        <w:tc>
          <w:tcPr>
            <w:tcW w:w="0" w:type="auto"/>
            <w:tcBorders>
              <w:top w:val="nil"/>
              <w:left w:val="single" w:sz="4" w:space="0" w:color="auto"/>
              <w:bottom w:val="nil"/>
              <w:right w:val="single" w:sz="4" w:space="0" w:color="auto"/>
            </w:tcBorders>
            <w:shd w:val="clear" w:color="auto" w:fill="auto"/>
            <w:noWrap/>
            <w:vAlign w:val="bottom"/>
            <w:hideMark/>
          </w:tcPr>
          <w:p w14:paraId="2FC75DBA"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38.317</w:t>
            </w:r>
          </w:p>
        </w:tc>
        <w:tc>
          <w:tcPr>
            <w:tcW w:w="0" w:type="auto"/>
            <w:tcBorders>
              <w:top w:val="nil"/>
              <w:left w:val="single" w:sz="4" w:space="0" w:color="auto"/>
              <w:bottom w:val="nil"/>
              <w:right w:val="single" w:sz="4" w:space="0" w:color="auto"/>
            </w:tcBorders>
            <w:shd w:val="clear" w:color="auto" w:fill="auto"/>
            <w:noWrap/>
            <w:vAlign w:val="bottom"/>
            <w:hideMark/>
          </w:tcPr>
          <w:p w14:paraId="0E6380B0"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7,81%</w:t>
            </w:r>
          </w:p>
        </w:tc>
        <w:tc>
          <w:tcPr>
            <w:tcW w:w="0" w:type="auto"/>
            <w:tcBorders>
              <w:top w:val="nil"/>
              <w:left w:val="single" w:sz="4" w:space="0" w:color="auto"/>
              <w:bottom w:val="nil"/>
              <w:right w:val="nil"/>
            </w:tcBorders>
            <w:shd w:val="clear" w:color="auto" w:fill="auto"/>
            <w:noWrap/>
            <w:vAlign w:val="bottom"/>
            <w:hideMark/>
          </w:tcPr>
          <w:p w14:paraId="1A4CAACB"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8,69%</w:t>
            </w:r>
          </w:p>
        </w:tc>
        <w:tc>
          <w:tcPr>
            <w:tcW w:w="0" w:type="auto"/>
            <w:tcBorders>
              <w:top w:val="nil"/>
              <w:left w:val="single" w:sz="4" w:space="0" w:color="auto"/>
              <w:bottom w:val="nil"/>
              <w:right w:val="single" w:sz="4" w:space="0" w:color="auto"/>
            </w:tcBorders>
            <w:shd w:val="clear" w:color="auto" w:fill="auto"/>
            <w:noWrap/>
            <w:vAlign w:val="bottom"/>
            <w:hideMark/>
          </w:tcPr>
          <w:p w14:paraId="0A40F2D5"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3</w:t>
            </w:r>
          </w:p>
        </w:tc>
        <w:tc>
          <w:tcPr>
            <w:tcW w:w="0" w:type="auto"/>
            <w:tcBorders>
              <w:top w:val="nil"/>
              <w:left w:val="single" w:sz="4" w:space="0" w:color="auto"/>
              <w:bottom w:val="nil"/>
              <w:right w:val="single" w:sz="4" w:space="0" w:color="auto"/>
            </w:tcBorders>
            <w:shd w:val="clear" w:color="auto" w:fill="auto"/>
            <w:noWrap/>
            <w:vAlign w:val="bottom"/>
            <w:hideMark/>
          </w:tcPr>
          <w:p w14:paraId="78B09AFC"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2</w:t>
            </w:r>
          </w:p>
        </w:tc>
        <w:tc>
          <w:tcPr>
            <w:tcW w:w="0" w:type="auto"/>
            <w:tcBorders>
              <w:top w:val="nil"/>
              <w:left w:val="single" w:sz="4" w:space="0" w:color="auto"/>
              <w:bottom w:val="nil"/>
              <w:right w:val="single" w:sz="8" w:space="0" w:color="auto"/>
            </w:tcBorders>
            <w:shd w:val="clear" w:color="auto" w:fill="auto"/>
            <w:noWrap/>
            <w:vAlign w:val="bottom"/>
            <w:hideMark/>
          </w:tcPr>
          <w:p w14:paraId="2A36ABEF"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18</w:t>
            </w:r>
          </w:p>
        </w:tc>
      </w:tr>
      <w:tr w:rsidR="004D596E" w:rsidRPr="007148A6" w14:paraId="17A2FB8B" w14:textId="77777777" w:rsidTr="004860F2">
        <w:trPr>
          <w:trHeight w:val="300"/>
        </w:trPr>
        <w:tc>
          <w:tcPr>
            <w:tcW w:w="2117" w:type="dxa"/>
            <w:tcBorders>
              <w:top w:val="nil"/>
              <w:left w:val="single" w:sz="8" w:space="0" w:color="auto"/>
              <w:bottom w:val="nil"/>
              <w:right w:val="single" w:sz="4" w:space="0" w:color="auto"/>
            </w:tcBorders>
            <w:shd w:val="clear" w:color="auto" w:fill="E7E6E6" w:themeFill="background2"/>
            <w:noWrap/>
            <w:vAlign w:val="bottom"/>
            <w:hideMark/>
          </w:tcPr>
          <w:p w14:paraId="4B2FD0F2" w14:textId="77777777" w:rsidR="004D596E" w:rsidRPr="00B15674" w:rsidRDefault="004D596E" w:rsidP="005F479F">
            <w:pPr>
              <w:spacing w:after="0" w:line="240" w:lineRule="auto"/>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SANTIAGO DEL ESTERO</w:t>
            </w:r>
          </w:p>
        </w:tc>
        <w:tc>
          <w:tcPr>
            <w:tcW w:w="0" w:type="auto"/>
            <w:tcBorders>
              <w:top w:val="nil"/>
              <w:left w:val="nil"/>
              <w:bottom w:val="nil"/>
              <w:right w:val="single" w:sz="4" w:space="0" w:color="auto"/>
            </w:tcBorders>
            <w:shd w:val="clear" w:color="auto" w:fill="auto"/>
            <w:noWrap/>
            <w:vAlign w:val="bottom"/>
            <w:hideMark/>
          </w:tcPr>
          <w:p w14:paraId="046FBDCB"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968.309</w:t>
            </w:r>
          </w:p>
        </w:tc>
        <w:tc>
          <w:tcPr>
            <w:tcW w:w="0" w:type="auto"/>
            <w:tcBorders>
              <w:top w:val="nil"/>
              <w:left w:val="single" w:sz="4" w:space="0" w:color="auto"/>
              <w:bottom w:val="nil"/>
              <w:right w:val="single" w:sz="4" w:space="0" w:color="auto"/>
            </w:tcBorders>
            <w:shd w:val="clear" w:color="auto" w:fill="auto"/>
            <w:noWrap/>
            <w:vAlign w:val="bottom"/>
            <w:hideMark/>
          </w:tcPr>
          <w:p w14:paraId="4DD0BB1C"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58.818,61</w:t>
            </w:r>
          </w:p>
        </w:tc>
        <w:tc>
          <w:tcPr>
            <w:tcW w:w="0" w:type="auto"/>
            <w:tcBorders>
              <w:top w:val="nil"/>
              <w:left w:val="single" w:sz="4" w:space="0" w:color="auto"/>
              <w:bottom w:val="nil"/>
              <w:right w:val="single" w:sz="4" w:space="0" w:color="auto"/>
            </w:tcBorders>
            <w:shd w:val="clear" w:color="auto" w:fill="auto"/>
            <w:noWrap/>
            <w:vAlign w:val="bottom"/>
            <w:hideMark/>
          </w:tcPr>
          <w:p w14:paraId="5BA6FB02"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60.744</w:t>
            </w:r>
          </w:p>
        </w:tc>
        <w:tc>
          <w:tcPr>
            <w:tcW w:w="0" w:type="auto"/>
            <w:tcBorders>
              <w:top w:val="nil"/>
              <w:left w:val="single" w:sz="4" w:space="0" w:color="auto"/>
              <w:bottom w:val="nil"/>
              <w:right w:val="single" w:sz="4" w:space="0" w:color="auto"/>
            </w:tcBorders>
            <w:shd w:val="clear" w:color="auto" w:fill="auto"/>
            <w:noWrap/>
            <w:vAlign w:val="bottom"/>
            <w:hideMark/>
          </w:tcPr>
          <w:p w14:paraId="2FF873C3"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2,15%</w:t>
            </w:r>
          </w:p>
        </w:tc>
        <w:tc>
          <w:tcPr>
            <w:tcW w:w="0" w:type="auto"/>
            <w:tcBorders>
              <w:top w:val="nil"/>
              <w:left w:val="single" w:sz="4" w:space="0" w:color="auto"/>
              <w:bottom w:val="nil"/>
              <w:right w:val="nil"/>
            </w:tcBorders>
            <w:shd w:val="clear" w:color="auto" w:fill="auto"/>
            <w:noWrap/>
            <w:vAlign w:val="bottom"/>
            <w:hideMark/>
          </w:tcPr>
          <w:p w14:paraId="697DD93A"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3,80%</w:t>
            </w:r>
          </w:p>
        </w:tc>
        <w:tc>
          <w:tcPr>
            <w:tcW w:w="0" w:type="auto"/>
            <w:tcBorders>
              <w:top w:val="nil"/>
              <w:left w:val="single" w:sz="4" w:space="0" w:color="auto"/>
              <w:bottom w:val="nil"/>
              <w:right w:val="single" w:sz="4" w:space="0" w:color="auto"/>
            </w:tcBorders>
            <w:shd w:val="clear" w:color="auto" w:fill="auto"/>
            <w:noWrap/>
            <w:vAlign w:val="bottom"/>
            <w:hideMark/>
          </w:tcPr>
          <w:p w14:paraId="1C037AA9"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12</w:t>
            </w:r>
          </w:p>
        </w:tc>
        <w:tc>
          <w:tcPr>
            <w:tcW w:w="0" w:type="auto"/>
            <w:tcBorders>
              <w:top w:val="nil"/>
              <w:left w:val="single" w:sz="4" w:space="0" w:color="auto"/>
              <w:bottom w:val="nil"/>
              <w:right w:val="single" w:sz="4" w:space="0" w:color="auto"/>
            </w:tcBorders>
            <w:shd w:val="clear" w:color="auto" w:fill="auto"/>
            <w:noWrap/>
            <w:vAlign w:val="bottom"/>
            <w:hideMark/>
          </w:tcPr>
          <w:p w14:paraId="4C857126"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9</w:t>
            </w:r>
          </w:p>
        </w:tc>
        <w:tc>
          <w:tcPr>
            <w:tcW w:w="0" w:type="auto"/>
            <w:tcBorders>
              <w:top w:val="nil"/>
              <w:left w:val="single" w:sz="4" w:space="0" w:color="auto"/>
              <w:bottom w:val="nil"/>
              <w:right w:val="single" w:sz="8" w:space="0" w:color="auto"/>
            </w:tcBorders>
            <w:shd w:val="clear" w:color="auto" w:fill="auto"/>
            <w:noWrap/>
            <w:vAlign w:val="bottom"/>
            <w:hideMark/>
          </w:tcPr>
          <w:p w14:paraId="36528AC8"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9</w:t>
            </w:r>
          </w:p>
        </w:tc>
      </w:tr>
      <w:tr w:rsidR="004D596E" w:rsidRPr="007148A6" w14:paraId="191D1EB6" w14:textId="77777777" w:rsidTr="004860F2">
        <w:trPr>
          <w:trHeight w:val="300"/>
        </w:trPr>
        <w:tc>
          <w:tcPr>
            <w:tcW w:w="2117" w:type="dxa"/>
            <w:tcBorders>
              <w:top w:val="nil"/>
              <w:left w:val="single" w:sz="8" w:space="0" w:color="auto"/>
              <w:bottom w:val="nil"/>
              <w:right w:val="single" w:sz="4" w:space="0" w:color="auto"/>
            </w:tcBorders>
            <w:shd w:val="clear" w:color="auto" w:fill="E7E6E6" w:themeFill="background2"/>
            <w:noWrap/>
            <w:vAlign w:val="bottom"/>
            <w:hideMark/>
          </w:tcPr>
          <w:p w14:paraId="6298B1A6" w14:textId="77777777" w:rsidR="004D596E" w:rsidRPr="00B15674" w:rsidRDefault="004D596E" w:rsidP="005F479F">
            <w:pPr>
              <w:spacing w:after="0" w:line="240" w:lineRule="auto"/>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TIERRA DEL FUEGO</w:t>
            </w:r>
          </w:p>
        </w:tc>
        <w:tc>
          <w:tcPr>
            <w:tcW w:w="0" w:type="auto"/>
            <w:tcBorders>
              <w:top w:val="nil"/>
              <w:left w:val="nil"/>
              <w:bottom w:val="nil"/>
              <w:right w:val="single" w:sz="4" w:space="0" w:color="auto"/>
            </w:tcBorders>
            <w:shd w:val="clear" w:color="auto" w:fill="auto"/>
            <w:noWrap/>
            <w:vAlign w:val="bottom"/>
            <w:hideMark/>
          </w:tcPr>
          <w:p w14:paraId="16E42950"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169.183</w:t>
            </w:r>
          </w:p>
        </w:tc>
        <w:tc>
          <w:tcPr>
            <w:tcW w:w="0" w:type="auto"/>
            <w:tcBorders>
              <w:top w:val="nil"/>
              <w:left w:val="single" w:sz="4" w:space="0" w:color="auto"/>
              <w:bottom w:val="nil"/>
              <w:right w:val="single" w:sz="4" w:space="0" w:color="auto"/>
            </w:tcBorders>
            <w:shd w:val="clear" w:color="auto" w:fill="auto"/>
            <w:noWrap/>
            <w:vAlign w:val="bottom"/>
            <w:hideMark/>
          </w:tcPr>
          <w:p w14:paraId="4A11AD24"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17.960,87</w:t>
            </w:r>
          </w:p>
        </w:tc>
        <w:tc>
          <w:tcPr>
            <w:tcW w:w="0" w:type="auto"/>
            <w:tcBorders>
              <w:top w:val="nil"/>
              <w:left w:val="single" w:sz="4" w:space="0" w:color="auto"/>
              <w:bottom w:val="nil"/>
              <w:right w:val="single" w:sz="4" w:space="0" w:color="auto"/>
            </w:tcBorders>
            <w:shd w:val="clear" w:color="auto" w:fill="auto"/>
            <w:noWrap/>
            <w:vAlign w:val="bottom"/>
            <w:hideMark/>
          </w:tcPr>
          <w:p w14:paraId="232C1812"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106.162</w:t>
            </w:r>
          </w:p>
        </w:tc>
        <w:tc>
          <w:tcPr>
            <w:tcW w:w="0" w:type="auto"/>
            <w:tcBorders>
              <w:top w:val="nil"/>
              <w:left w:val="single" w:sz="4" w:space="0" w:color="auto"/>
              <w:bottom w:val="nil"/>
              <w:right w:val="single" w:sz="4" w:space="0" w:color="auto"/>
            </w:tcBorders>
            <w:shd w:val="clear" w:color="auto" w:fill="auto"/>
            <w:noWrap/>
            <w:vAlign w:val="bottom"/>
            <w:hideMark/>
          </w:tcPr>
          <w:p w14:paraId="6DA423C8"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0,38%</w:t>
            </w:r>
          </w:p>
        </w:tc>
        <w:tc>
          <w:tcPr>
            <w:tcW w:w="0" w:type="auto"/>
            <w:tcBorders>
              <w:top w:val="nil"/>
              <w:left w:val="single" w:sz="4" w:space="0" w:color="auto"/>
              <w:bottom w:val="nil"/>
              <w:right w:val="nil"/>
            </w:tcBorders>
            <w:shd w:val="clear" w:color="auto" w:fill="auto"/>
            <w:noWrap/>
            <w:vAlign w:val="bottom"/>
            <w:hideMark/>
          </w:tcPr>
          <w:p w14:paraId="4CFDA72B"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1,16%</w:t>
            </w:r>
          </w:p>
        </w:tc>
        <w:tc>
          <w:tcPr>
            <w:tcW w:w="0" w:type="auto"/>
            <w:tcBorders>
              <w:top w:val="nil"/>
              <w:left w:val="single" w:sz="4" w:space="0" w:color="auto"/>
              <w:bottom w:val="nil"/>
              <w:right w:val="single" w:sz="4" w:space="0" w:color="auto"/>
            </w:tcBorders>
            <w:shd w:val="clear" w:color="auto" w:fill="auto"/>
            <w:noWrap/>
            <w:vAlign w:val="bottom"/>
            <w:hideMark/>
          </w:tcPr>
          <w:p w14:paraId="3A02EBAC"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24</w:t>
            </w:r>
          </w:p>
        </w:tc>
        <w:tc>
          <w:tcPr>
            <w:tcW w:w="0" w:type="auto"/>
            <w:tcBorders>
              <w:top w:val="nil"/>
              <w:left w:val="single" w:sz="4" w:space="0" w:color="auto"/>
              <w:bottom w:val="nil"/>
              <w:right w:val="single" w:sz="4" w:space="0" w:color="auto"/>
            </w:tcBorders>
            <w:shd w:val="clear" w:color="auto" w:fill="auto"/>
            <w:noWrap/>
            <w:vAlign w:val="bottom"/>
            <w:hideMark/>
          </w:tcPr>
          <w:p w14:paraId="1D17F12A"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24</w:t>
            </w:r>
          </w:p>
        </w:tc>
        <w:tc>
          <w:tcPr>
            <w:tcW w:w="0" w:type="auto"/>
            <w:tcBorders>
              <w:top w:val="nil"/>
              <w:left w:val="single" w:sz="4" w:space="0" w:color="auto"/>
              <w:bottom w:val="nil"/>
              <w:right w:val="single" w:sz="8" w:space="0" w:color="auto"/>
            </w:tcBorders>
            <w:shd w:val="clear" w:color="auto" w:fill="auto"/>
            <w:noWrap/>
            <w:vAlign w:val="bottom"/>
            <w:hideMark/>
          </w:tcPr>
          <w:p w14:paraId="3A8B9D44"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w:t>
            </w:r>
          </w:p>
        </w:tc>
      </w:tr>
      <w:tr w:rsidR="004D596E" w:rsidRPr="007148A6" w14:paraId="069CCDEC" w14:textId="77777777" w:rsidTr="004860F2">
        <w:trPr>
          <w:trHeight w:val="315"/>
        </w:trPr>
        <w:tc>
          <w:tcPr>
            <w:tcW w:w="2117" w:type="dxa"/>
            <w:tcBorders>
              <w:top w:val="nil"/>
              <w:left w:val="single" w:sz="8" w:space="0" w:color="auto"/>
              <w:bottom w:val="single" w:sz="8" w:space="0" w:color="auto"/>
              <w:right w:val="single" w:sz="4" w:space="0" w:color="auto"/>
            </w:tcBorders>
            <w:shd w:val="clear" w:color="auto" w:fill="E7E6E6" w:themeFill="background2"/>
            <w:noWrap/>
            <w:vAlign w:val="bottom"/>
            <w:hideMark/>
          </w:tcPr>
          <w:p w14:paraId="0D2FD9E7" w14:textId="77777777" w:rsidR="004D596E" w:rsidRPr="00B15674" w:rsidRDefault="004D596E" w:rsidP="005F479F">
            <w:pPr>
              <w:spacing w:after="0" w:line="240" w:lineRule="auto"/>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TUCUMÁN</w:t>
            </w:r>
          </w:p>
        </w:tc>
        <w:tc>
          <w:tcPr>
            <w:tcW w:w="0" w:type="auto"/>
            <w:tcBorders>
              <w:top w:val="nil"/>
              <w:left w:val="nil"/>
              <w:bottom w:val="single" w:sz="8" w:space="0" w:color="auto"/>
              <w:right w:val="single" w:sz="4" w:space="0" w:color="auto"/>
            </w:tcBorders>
            <w:shd w:val="clear" w:color="auto" w:fill="auto"/>
            <w:noWrap/>
            <w:vAlign w:val="bottom"/>
            <w:hideMark/>
          </w:tcPr>
          <w:p w14:paraId="7FC725B7"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1.674.622</w:t>
            </w:r>
          </w:p>
        </w:tc>
        <w:tc>
          <w:tcPr>
            <w:tcW w:w="0" w:type="auto"/>
            <w:tcBorders>
              <w:top w:val="nil"/>
              <w:left w:val="single" w:sz="4" w:space="0" w:color="auto"/>
              <w:bottom w:val="single" w:sz="8" w:space="0" w:color="auto"/>
              <w:right w:val="single" w:sz="4" w:space="0" w:color="auto"/>
            </w:tcBorders>
            <w:shd w:val="clear" w:color="auto" w:fill="auto"/>
            <w:noWrap/>
            <w:vAlign w:val="bottom"/>
            <w:hideMark/>
          </w:tcPr>
          <w:p w14:paraId="15FEE388"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67.517,31</w:t>
            </w:r>
          </w:p>
        </w:tc>
        <w:tc>
          <w:tcPr>
            <w:tcW w:w="0" w:type="auto"/>
            <w:tcBorders>
              <w:top w:val="nil"/>
              <w:left w:val="single" w:sz="4" w:space="0" w:color="auto"/>
              <w:bottom w:val="single" w:sz="8" w:space="0" w:color="auto"/>
              <w:right w:val="single" w:sz="4" w:space="0" w:color="auto"/>
            </w:tcBorders>
            <w:shd w:val="clear" w:color="auto" w:fill="auto"/>
            <w:noWrap/>
            <w:vAlign w:val="bottom"/>
            <w:hideMark/>
          </w:tcPr>
          <w:p w14:paraId="6E6B8A3B" w14:textId="77777777" w:rsidR="004D596E" w:rsidRPr="00B15674" w:rsidRDefault="004D596E" w:rsidP="005F479F">
            <w:pPr>
              <w:spacing w:after="0" w:line="240" w:lineRule="auto"/>
              <w:jc w:val="right"/>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40.318</w:t>
            </w:r>
          </w:p>
        </w:tc>
        <w:tc>
          <w:tcPr>
            <w:tcW w:w="0" w:type="auto"/>
            <w:tcBorders>
              <w:top w:val="nil"/>
              <w:left w:val="single" w:sz="4" w:space="0" w:color="auto"/>
              <w:bottom w:val="single" w:sz="8" w:space="0" w:color="auto"/>
              <w:right w:val="single" w:sz="4" w:space="0" w:color="auto"/>
            </w:tcBorders>
            <w:shd w:val="clear" w:color="auto" w:fill="auto"/>
            <w:noWrap/>
            <w:vAlign w:val="bottom"/>
            <w:hideMark/>
          </w:tcPr>
          <w:p w14:paraId="2EA2F19F"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3,73%</w:t>
            </w:r>
          </w:p>
        </w:tc>
        <w:tc>
          <w:tcPr>
            <w:tcW w:w="0" w:type="auto"/>
            <w:tcBorders>
              <w:top w:val="nil"/>
              <w:left w:val="single" w:sz="4" w:space="0" w:color="auto"/>
              <w:bottom w:val="single" w:sz="8" w:space="0" w:color="auto"/>
              <w:right w:val="nil"/>
            </w:tcBorders>
            <w:shd w:val="clear" w:color="auto" w:fill="auto"/>
            <w:noWrap/>
            <w:vAlign w:val="bottom"/>
            <w:hideMark/>
          </w:tcPr>
          <w:p w14:paraId="3C1C21BA"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4,36%</w:t>
            </w:r>
          </w:p>
        </w:tc>
        <w:tc>
          <w:tcPr>
            <w:tcW w:w="0" w:type="auto"/>
            <w:tcBorders>
              <w:top w:val="nil"/>
              <w:left w:val="single" w:sz="4" w:space="0" w:color="auto"/>
              <w:bottom w:val="single" w:sz="8" w:space="0" w:color="auto"/>
              <w:right w:val="single" w:sz="4" w:space="0" w:color="auto"/>
            </w:tcBorders>
            <w:shd w:val="clear" w:color="auto" w:fill="auto"/>
            <w:noWrap/>
            <w:vAlign w:val="bottom"/>
            <w:hideMark/>
          </w:tcPr>
          <w:p w14:paraId="1E46A28E"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6</w:t>
            </w:r>
          </w:p>
        </w:tc>
        <w:tc>
          <w:tcPr>
            <w:tcW w:w="0" w:type="auto"/>
            <w:tcBorders>
              <w:top w:val="nil"/>
              <w:left w:val="single" w:sz="4" w:space="0" w:color="auto"/>
              <w:bottom w:val="single" w:sz="8" w:space="0" w:color="auto"/>
              <w:right w:val="single" w:sz="4" w:space="0" w:color="auto"/>
            </w:tcBorders>
            <w:shd w:val="clear" w:color="auto" w:fill="auto"/>
            <w:noWrap/>
            <w:vAlign w:val="bottom"/>
            <w:hideMark/>
          </w:tcPr>
          <w:p w14:paraId="16D6EE17"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7</w:t>
            </w:r>
          </w:p>
        </w:tc>
        <w:tc>
          <w:tcPr>
            <w:tcW w:w="0" w:type="auto"/>
            <w:tcBorders>
              <w:top w:val="nil"/>
              <w:left w:val="single" w:sz="4" w:space="0" w:color="auto"/>
              <w:bottom w:val="single" w:sz="8" w:space="0" w:color="auto"/>
              <w:right w:val="single" w:sz="8" w:space="0" w:color="auto"/>
            </w:tcBorders>
            <w:shd w:val="clear" w:color="auto" w:fill="auto"/>
            <w:noWrap/>
            <w:vAlign w:val="bottom"/>
            <w:hideMark/>
          </w:tcPr>
          <w:p w14:paraId="4E78AD4A" w14:textId="77777777" w:rsidR="004D596E" w:rsidRPr="00B15674" w:rsidRDefault="004D596E" w:rsidP="005F479F">
            <w:pPr>
              <w:spacing w:after="0" w:line="240" w:lineRule="auto"/>
              <w:jc w:val="center"/>
              <w:rPr>
                <w:rFonts w:ascii="Arial" w:eastAsia="Times New Roman" w:hAnsi="Arial" w:cs="Arial"/>
                <w:color w:val="000000"/>
                <w:sz w:val="20"/>
                <w:szCs w:val="20"/>
                <w:lang w:eastAsia="es-AR"/>
              </w:rPr>
            </w:pPr>
            <w:r w:rsidRPr="00B15674">
              <w:rPr>
                <w:rFonts w:ascii="Arial" w:eastAsia="Times New Roman" w:hAnsi="Arial" w:cs="Arial"/>
                <w:color w:val="000000"/>
                <w:sz w:val="20"/>
                <w:szCs w:val="20"/>
                <w:lang w:eastAsia="es-AR"/>
              </w:rPr>
              <w:t>15</w:t>
            </w:r>
          </w:p>
        </w:tc>
      </w:tr>
      <w:tr w:rsidR="004D596E" w:rsidRPr="007148A6" w14:paraId="0BC1C9CD" w14:textId="77777777" w:rsidTr="004860F2">
        <w:trPr>
          <w:trHeight w:val="315"/>
        </w:trPr>
        <w:tc>
          <w:tcPr>
            <w:tcW w:w="2117" w:type="dxa"/>
            <w:tcBorders>
              <w:top w:val="nil"/>
              <w:left w:val="single" w:sz="8" w:space="0" w:color="auto"/>
              <w:bottom w:val="single" w:sz="8" w:space="0" w:color="auto"/>
              <w:right w:val="single" w:sz="4" w:space="0" w:color="auto"/>
            </w:tcBorders>
            <w:shd w:val="clear" w:color="auto" w:fill="E7E6E6" w:themeFill="background2"/>
            <w:noWrap/>
            <w:vAlign w:val="bottom"/>
            <w:hideMark/>
          </w:tcPr>
          <w:p w14:paraId="489488A3" w14:textId="77777777" w:rsidR="004D596E" w:rsidRPr="007148A6" w:rsidRDefault="004D596E" w:rsidP="005F479F">
            <w:pPr>
              <w:spacing w:after="0" w:line="240" w:lineRule="auto"/>
              <w:rPr>
                <w:rFonts w:ascii="Arial" w:eastAsia="Times New Roman" w:hAnsi="Arial" w:cs="Arial"/>
                <w:b/>
                <w:bCs/>
                <w:color w:val="000000"/>
                <w:lang w:eastAsia="es-AR"/>
              </w:rPr>
            </w:pPr>
            <w:r w:rsidRPr="007148A6">
              <w:rPr>
                <w:rFonts w:ascii="Arial" w:eastAsia="Times New Roman" w:hAnsi="Arial" w:cs="Arial"/>
                <w:b/>
                <w:bCs/>
                <w:color w:val="000000"/>
                <w:lang w:eastAsia="es-AR"/>
              </w:rPr>
              <w:t>TOTAL</w:t>
            </w:r>
          </w:p>
        </w:tc>
        <w:tc>
          <w:tcPr>
            <w:tcW w:w="0" w:type="auto"/>
            <w:tcBorders>
              <w:top w:val="nil"/>
              <w:left w:val="nil"/>
              <w:bottom w:val="single" w:sz="8" w:space="0" w:color="auto"/>
              <w:right w:val="single" w:sz="4" w:space="0" w:color="auto"/>
            </w:tcBorders>
            <w:shd w:val="clear" w:color="auto" w:fill="auto"/>
            <w:noWrap/>
            <w:vAlign w:val="bottom"/>
            <w:hideMark/>
          </w:tcPr>
          <w:p w14:paraId="054AAE02" w14:textId="77777777" w:rsidR="004D596E" w:rsidRPr="007148A6" w:rsidRDefault="004D596E" w:rsidP="005F479F">
            <w:pPr>
              <w:spacing w:after="0" w:line="240" w:lineRule="auto"/>
              <w:jc w:val="right"/>
              <w:rPr>
                <w:rFonts w:ascii="Arial" w:eastAsia="Times New Roman" w:hAnsi="Arial" w:cs="Arial"/>
                <w:b/>
                <w:bCs/>
                <w:color w:val="000000"/>
                <w:lang w:eastAsia="es-AR"/>
              </w:rPr>
            </w:pPr>
            <w:r w:rsidRPr="007148A6">
              <w:rPr>
                <w:rFonts w:ascii="Arial" w:eastAsia="Times New Roman" w:hAnsi="Arial" w:cs="Arial"/>
                <w:b/>
                <w:bCs/>
                <w:color w:val="000000"/>
                <w:lang w:eastAsia="es-AR"/>
              </w:rPr>
              <w:t>44.938.712</w:t>
            </w:r>
          </w:p>
        </w:tc>
        <w:tc>
          <w:tcPr>
            <w:tcW w:w="0" w:type="auto"/>
            <w:tcBorders>
              <w:top w:val="nil"/>
              <w:left w:val="single" w:sz="4" w:space="0" w:color="auto"/>
              <w:bottom w:val="single" w:sz="8" w:space="0" w:color="auto"/>
              <w:right w:val="single" w:sz="4" w:space="0" w:color="auto"/>
            </w:tcBorders>
            <w:shd w:val="clear" w:color="auto" w:fill="auto"/>
            <w:noWrap/>
            <w:vAlign w:val="bottom"/>
            <w:hideMark/>
          </w:tcPr>
          <w:p w14:paraId="1D023F92" w14:textId="77777777" w:rsidR="004D596E" w:rsidRPr="007148A6" w:rsidRDefault="004D596E" w:rsidP="005F479F">
            <w:pPr>
              <w:spacing w:after="0" w:line="240" w:lineRule="auto"/>
              <w:jc w:val="right"/>
              <w:rPr>
                <w:rFonts w:ascii="Arial" w:eastAsia="Times New Roman" w:hAnsi="Arial" w:cs="Arial"/>
                <w:b/>
                <w:bCs/>
                <w:color w:val="000000"/>
                <w:lang w:eastAsia="es-AR"/>
              </w:rPr>
            </w:pPr>
            <w:r w:rsidRPr="007148A6">
              <w:rPr>
                <w:rFonts w:ascii="Arial" w:eastAsia="Times New Roman" w:hAnsi="Arial" w:cs="Arial"/>
                <w:b/>
                <w:bCs/>
                <w:color w:val="000000"/>
                <w:lang w:eastAsia="es-AR"/>
              </w:rPr>
              <w:t>1.547.055,79</w:t>
            </w:r>
          </w:p>
        </w:tc>
        <w:tc>
          <w:tcPr>
            <w:tcW w:w="0" w:type="auto"/>
            <w:tcBorders>
              <w:top w:val="nil"/>
              <w:left w:val="single" w:sz="4" w:space="0" w:color="auto"/>
              <w:bottom w:val="single" w:sz="8" w:space="0" w:color="auto"/>
              <w:right w:val="single" w:sz="4" w:space="0" w:color="auto"/>
            </w:tcBorders>
            <w:shd w:val="clear" w:color="auto" w:fill="auto"/>
            <w:noWrap/>
            <w:vAlign w:val="bottom"/>
            <w:hideMark/>
          </w:tcPr>
          <w:p w14:paraId="7A4D8A65" w14:textId="77777777" w:rsidR="004D596E" w:rsidRPr="007148A6" w:rsidRDefault="004D596E" w:rsidP="005F479F">
            <w:pPr>
              <w:spacing w:after="0" w:line="240" w:lineRule="auto"/>
              <w:jc w:val="right"/>
              <w:rPr>
                <w:rFonts w:ascii="Arial" w:eastAsia="Times New Roman" w:hAnsi="Arial" w:cs="Arial"/>
                <w:b/>
                <w:bCs/>
                <w:color w:val="000000"/>
                <w:lang w:eastAsia="es-AR"/>
              </w:rPr>
            </w:pPr>
            <w:r w:rsidRPr="007148A6">
              <w:rPr>
                <w:rFonts w:ascii="Arial" w:eastAsia="Times New Roman" w:hAnsi="Arial" w:cs="Arial"/>
                <w:b/>
                <w:bCs/>
                <w:color w:val="000000"/>
                <w:lang w:eastAsia="es-AR"/>
              </w:rPr>
              <w:t>34.426</w:t>
            </w:r>
          </w:p>
        </w:tc>
        <w:tc>
          <w:tcPr>
            <w:tcW w:w="0" w:type="auto"/>
            <w:tcBorders>
              <w:top w:val="nil"/>
              <w:left w:val="single" w:sz="4" w:space="0" w:color="auto"/>
              <w:bottom w:val="nil"/>
              <w:right w:val="nil"/>
            </w:tcBorders>
            <w:shd w:val="clear" w:color="auto" w:fill="auto"/>
            <w:noWrap/>
            <w:vAlign w:val="bottom"/>
            <w:hideMark/>
          </w:tcPr>
          <w:p w14:paraId="0BC3340A" w14:textId="77777777" w:rsidR="004D596E" w:rsidRPr="007148A6" w:rsidRDefault="004D596E" w:rsidP="005F479F">
            <w:pPr>
              <w:spacing w:after="0" w:line="240" w:lineRule="auto"/>
              <w:rPr>
                <w:rFonts w:ascii="Arial" w:eastAsia="Times New Roman" w:hAnsi="Arial" w:cs="Arial"/>
                <w:color w:val="000000"/>
                <w:lang w:eastAsia="es-AR"/>
              </w:rPr>
            </w:pPr>
          </w:p>
        </w:tc>
        <w:tc>
          <w:tcPr>
            <w:tcW w:w="0" w:type="auto"/>
            <w:tcBorders>
              <w:top w:val="nil"/>
              <w:left w:val="nil"/>
              <w:bottom w:val="nil"/>
              <w:right w:val="nil"/>
            </w:tcBorders>
            <w:shd w:val="clear" w:color="auto" w:fill="auto"/>
            <w:noWrap/>
            <w:vAlign w:val="bottom"/>
            <w:hideMark/>
          </w:tcPr>
          <w:p w14:paraId="5AB0141C" w14:textId="77777777" w:rsidR="004D596E" w:rsidRPr="007148A6" w:rsidRDefault="004D596E" w:rsidP="005F479F">
            <w:pPr>
              <w:spacing w:after="0" w:line="240" w:lineRule="auto"/>
              <w:rPr>
                <w:rFonts w:ascii="Arial" w:eastAsia="Times New Roman" w:hAnsi="Arial" w:cs="Arial"/>
                <w:color w:val="000000"/>
                <w:lang w:eastAsia="es-AR"/>
              </w:rPr>
            </w:pPr>
          </w:p>
        </w:tc>
        <w:tc>
          <w:tcPr>
            <w:tcW w:w="0" w:type="auto"/>
            <w:tcBorders>
              <w:top w:val="nil"/>
              <w:left w:val="nil"/>
              <w:bottom w:val="nil"/>
              <w:right w:val="nil"/>
            </w:tcBorders>
            <w:shd w:val="clear" w:color="auto" w:fill="auto"/>
            <w:noWrap/>
            <w:vAlign w:val="bottom"/>
            <w:hideMark/>
          </w:tcPr>
          <w:p w14:paraId="30006405" w14:textId="77777777" w:rsidR="004D596E" w:rsidRPr="007148A6" w:rsidRDefault="004D596E" w:rsidP="005F479F">
            <w:pPr>
              <w:spacing w:after="0" w:line="240" w:lineRule="auto"/>
              <w:rPr>
                <w:rFonts w:ascii="Arial" w:eastAsia="Times New Roman" w:hAnsi="Arial" w:cs="Arial"/>
                <w:b/>
                <w:bCs/>
                <w:color w:val="000000"/>
                <w:lang w:eastAsia="es-AR"/>
              </w:rPr>
            </w:pPr>
          </w:p>
        </w:tc>
        <w:tc>
          <w:tcPr>
            <w:tcW w:w="0" w:type="auto"/>
            <w:tcBorders>
              <w:top w:val="nil"/>
              <w:left w:val="nil"/>
              <w:bottom w:val="nil"/>
              <w:right w:val="nil"/>
            </w:tcBorders>
            <w:shd w:val="clear" w:color="auto" w:fill="auto"/>
            <w:noWrap/>
            <w:vAlign w:val="bottom"/>
            <w:hideMark/>
          </w:tcPr>
          <w:p w14:paraId="1A09D23C" w14:textId="77777777" w:rsidR="004D596E" w:rsidRPr="007148A6" w:rsidRDefault="004D596E" w:rsidP="005F479F">
            <w:pPr>
              <w:spacing w:after="0" w:line="240" w:lineRule="auto"/>
              <w:rPr>
                <w:rFonts w:ascii="Arial" w:eastAsia="Times New Roman" w:hAnsi="Arial" w:cs="Arial"/>
                <w:b/>
                <w:bCs/>
                <w:color w:val="000000"/>
                <w:lang w:eastAsia="es-AR"/>
              </w:rPr>
            </w:pPr>
          </w:p>
        </w:tc>
        <w:tc>
          <w:tcPr>
            <w:tcW w:w="0" w:type="auto"/>
            <w:tcBorders>
              <w:top w:val="nil"/>
              <w:left w:val="nil"/>
              <w:bottom w:val="nil"/>
              <w:right w:val="nil"/>
            </w:tcBorders>
            <w:shd w:val="clear" w:color="auto" w:fill="auto"/>
            <w:noWrap/>
            <w:vAlign w:val="bottom"/>
            <w:hideMark/>
          </w:tcPr>
          <w:p w14:paraId="05D3070A" w14:textId="77777777" w:rsidR="004D596E" w:rsidRPr="007148A6" w:rsidRDefault="004D596E" w:rsidP="005F479F">
            <w:pPr>
              <w:spacing w:after="0" w:line="240" w:lineRule="auto"/>
              <w:rPr>
                <w:rFonts w:ascii="Arial" w:eastAsia="Times New Roman" w:hAnsi="Arial" w:cs="Arial"/>
                <w:b/>
                <w:bCs/>
                <w:color w:val="000000"/>
                <w:lang w:eastAsia="es-AR"/>
              </w:rPr>
            </w:pPr>
          </w:p>
        </w:tc>
      </w:tr>
    </w:tbl>
    <w:p w14:paraId="042EEA5A" w14:textId="65B92BC3" w:rsidR="004D596E" w:rsidRPr="004860F2" w:rsidRDefault="004D596E" w:rsidP="004D596E">
      <w:pPr>
        <w:spacing w:before="60" w:after="120" w:line="240" w:lineRule="auto"/>
        <w:jc w:val="center"/>
        <w:rPr>
          <w:rFonts w:ascii="Arial" w:hAnsi="Arial" w:cs="Arial"/>
          <w:sz w:val="18"/>
          <w:szCs w:val="18"/>
        </w:rPr>
      </w:pPr>
      <w:r w:rsidRPr="004860F2">
        <w:rPr>
          <w:rFonts w:ascii="Arial" w:hAnsi="Arial" w:cs="Arial"/>
          <w:sz w:val="18"/>
          <w:szCs w:val="18"/>
        </w:rPr>
        <w:t>Fuente: Elaboración propia en base a datos de la Comisión Federal de Impuestos y del INDEC</w:t>
      </w:r>
    </w:p>
    <w:p w14:paraId="3AFA90A1" w14:textId="759C31C9" w:rsidR="00985B6A" w:rsidRPr="007148A6" w:rsidRDefault="007E58E1" w:rsidP="004860F2">
      <w:pPr>
        <w:spacing w:before="240" w:after="120"/>
        <w:jc w:val="both"/>
        <w:rPr>
          <w:rFonts w:ascii="Arial" w:hAnsi="Arial" w:cs="Arial"/>
        </w:rPr>
      </w:pPr>
      <w:r w:rsidRPr="007148A6">
        <w:rPr>
          <w:rFonts w:ascii="Arial" w:hAnsi="Arial" w:cs="Arial"/>
        </w:rPr>
        <w:t xml:space="preserve">Es indudable que el </w:t>
      </w:r>
      <w:r w:rsidR="001C1DE8" w:rsidRPr="007148A6">
        <w:rPr>
          <w:rFonts w:ascii="Arial" w:hAnsi="Arial" w:cs="Arial"/>
        </w:rPr>
        <w:t xml:space="preserve">número de habitantes de </w:t>
      </w:r>
      <w:r w:rsidR="001A5FF6" w:rsidRPr="007148A6">
        <w:rPr>
          <w:rFonts w:ascii="Arial" w:hAnsi="Arial" w:cs="Arial"/>
        </w:rPr>
        <w:t>cada jurisdicción debe ser el principal indicador objetivo</w:t>
      </w:r>
      <w:r w:rsidR="00171372" w:rsidRPr="007148A6">
        <w:rPr>
          <w:rFonts w:ascii="Arial" w:hAnsi="Arial" w:cs="Arial"/>
        </w:rPr>
        <w:t xml:space="preserve"> de distribución secundaria</w:t>
      </w:r>
      <w:r w:rsidR="0002745A" w:rsidRPr="007148A6">
        <w:rPr>
          <w:rFonts w:ascii="Arial" w:hAnsi="Arial" w:cs="Arial"/>
        </w:rPr>
        <w:t xml:space="preserve">. </w:t>
      </w:r>
      <w:r w:rsidR="00736DF5" w:rsidRPr="007148A6">
        <w:rPr>
          <w:rFonts w:ascii="Arial" w:hAnsi="Arial" w:cs="Arial"/>
        </w:rPr>
        <w:t>Y</w:t>
      </w:r>
      <w:r w:rsidR="00A831D1" w:rsidRPr="007148A6">
        <w:rPr>
          <w:rFonts w:ascii="Arial" w:hAnsi="Arial" w:cs="Arial"/>
        </w:rPr>
        <w:t>a que</w:t>
      </w:r>
      <w:r w:rsidR="00736DF5" w:rsidRPr="007148A6">
        <w:rPr>
          <w:rFonts w:ascii="Arial" w:hAnsi="Arial" w:cs="Arial"/>
        </w:rPr>
        <w:t xml:space="preserve"> es el que mejor expresa</w:t>
      </w:r>
      <w:r w:rsidR="00A831D1" w:rsidRPr="007148A6">
        <w:rPr>
          <w:rFonts w:ascii="Arial" w:hAnsi="Arial" w:cs="Arial"/>
        </w:rPr>
        <w:t xml:space="preserve"> la magnitud de</w:t>
      </w:r>
      <w:r w:rsidR="00EA7ACE" w:rsidRPr="007148A6">
        <w:rPr>
          <w:rFonts w:ascii="Arial" w:hAnsi="Arial" w:cs="Arial"/>
        </w:rPr>
        <w:t xml:space="preserve"> las necesidades de </w:t>
      </w:r>
      <w:r w:rsidR="0007476E" w:rsidRPr="007148A6">
        <w:rPr>
          <w:rFonts w:ascii="Arial" w:hAnsi="Arial" w:cs="Arial"/>
        </w:rPr>
        <w:t>los ciud</w:t>
      </w:r>
      <w:r w:rsidR="008F4028" w:rsidRPr="007148A6">
        <w:rPr>
          <w:rFonts w:ascii="Arial" w:hAnsi="Arial" w:cs="Arial"/>
        </w:rPr>
        <w:t>adanos que deben ser atendidas por el estado</w:t>
      </w:r>
      <w:r w:rsidR="00587FF0" w:rsidRPr="007148A6">
        <w:rPr>
          <w:rFonts w:ascii="Arial" w:hAnsi="Arial" w:cs="Arial"/>
        </w:rPr>
        <w:t xml:space="preserve"> y su demanda por servicios gubernamentales</w:t>
      </w:r>
      <w:r w:rsidR="008F4028" w:rsidRPr="007148A6">
        <w:rPr>
          <w:rFonts w:ascii="Arial" w:hAnsi="Arial" w:cs="Arial"/>
        </w:rPr>
        <w:t>.</w:t>
      </w:r>
      <w:r w:rsidR="00D7394E" w:rsidRPr="007148A6">
        <w:rPr>
          <w:rFonts w:ascii="Arial" w:hAnsi="Arial" w:cs="Arial"/>
        </w:rPr>
        <w:t xml:space="preserve"> En las leyes de coparticipación anteriores </w:t>
      </w:r>
      <w:r w:rsidR="001A7730" w:rsidRPr="007148A6">
        <w:rPr>
          <w:rFonts w:ascii="Arial" w:hAnsi="Arial" w:cs="Arial"/>
        </w:rPr>
        <w:t xml:space="preserve">a la actual </w:t>
      </w:r>
      <w:r w:rsidR="00F24A68" w:rsidRPr="007148A6">
        <w:rPr>
          <w:rFonts w:ascii="Arial" w:hAnsi="Arial" w:cs="Arial"/>
        </w:rPr>
        <w:t>este indicador fue el principal</w:t>
      </w:r>
      <w:r w:rsidR="004B2555" w:rsidRPr="007148A6">
        <w:rPr>
          <w:rFonts w:ascii="Arial" w:hAnsi="Arial" w:cs="Arial"/>
        </w:rPr>
        <w:t xml:space="preserve"> índice de distribución</w:t>
      </w:r>
      <w:r w:rsidR="006E0BA9" w:rsidRPr="007148A6">
        <w:rPr>
          <w:rFonts w:ascii="Arial" w:hAnsi="Arial" w:cs="Arial"/>
        </w:rPr>
        <w:t>, sobre todo en la Ley 2</w:t>
      </w:r>
      <w:r w:rsidR="004476AA" w:rsidRPr="007148A6">
        <w:rPr>
          <w:rFonts w:ascii="Arial" w:hAnsi="Arial" w:cs="Arial"/>
        </w:rPr>
        <w:t xml:space="preserve">0.221 que rigió entre </w:t>
      </w:r>
      <w:r w:rsidR="0046748F" w:rsidRPr="007148A6">
        <w:rPr>
          <w:rFonts w:ascii="Arial" w:hAnsi="Arial" w:cs="Arial"/>
        </w:rPr>
        <w:t>1973 y 1984</w:t>
      </w:r>
      <w:r w:rsidR="001F0FA4" w:rsidRPr="007148A6">
        <w:rPr>
          <w:rFonts w:ascii="Arial" w:hAnsi="Arial" w:cs="Arial"/>
        </w:rPr>
        <w:t xml:space="preserve">, </w:t>
      </w:r>
      <w:r w:rsidR="00CE4979" w:rsidRPr="007148A6">
        <w:rPr>
          <w:rFonts w:ascii="Arial" w:hAnsi="Arial" w:cs="Arial"/>
        </w:rPr>
        <w:t xml:space="preserve">en la que el porcentaje asignado a esta variable fue del </w:t>
      </w:r>
      <w:r w:rsidR="0009043D" w:rsidRPr="007148A6">
        <w:rPr>
          <w:rFonts w:ascii="Arial" w:hAnsi="Arial" w:cs="Arial"/>
        </w:rPr>
        <w:t xml:space="preserve">65%. No obstante, </w:t>
      </w:r>
      <w:r w:rsidR="00515A2E" w:rsidRPr="007148A6">
        <w:rPr>
          <w:rFonts w:ascii="Arial" w:hAnsi="Arial" w:cs="Arial"/>
        </w:rPr>
        <w:t>el grado de carencias o de demandas por servicios gubernamentales no es uniforme en toda la población. En el trabajo anterior estos autores p</w:t>
      </w:r>
      <w:r w:rsidR="00AB265E" w:rsidRPr="007148A6">
        <w:rPr>
          <w:rFonts w:ascii="Arial" w:hAnsi="Arial" w:cs="Arial"/>
        </w:rPr>
        <w:t>r</w:t>
      </w:r>
      <w:r w:rsidR="00515A2E" w:rsidRPr="007148A6">
        <w:rPr>
          <w:rFonts w:ascii="Arial" w:hAnsi="Arial" w:cs="Arial"/>
        </w:rPr>
        <w:t>oponían considera</w:t>
      </w:r>
      <w:r w:rsidR="006C4434" w:rsidRPr="007148A6">
        <w:rPr>
          <w:rFonts w:ascii="Arial" w:hAnsi="Arial" w:cs="Arial"/>
        </w:rPr>
        <w:t>r las necesidades</w:t>
      </w:r>
      <w:r w:rsidR="00CD76A2" w:rsidRPr="007148A6">
        <w:rPr>
          <w:rFonts w:ascii="Arial" w:hAnsi="Arial" w:cs="Arial"/>
        </w:rPr>
        <w:t xml:space="preserve"> teniendo en cuenta el índice</w:t>
      </w:r>
      <w:r w:rsidR="00CA5D31" w:rsidRPr="007148A6">
        <w:rPr>
          <w:rFonts w:ascii="Arial" w:hAnsi="Arial" w:cs="Arial"/>
        </w:rPr>
        <w:t xml:space="preserve"> de </w:t>
      </w:r>
      <w:r w:rsidR="00862A9B" w:rsidRPr="007148A6">
        <w:rPr>
          <w:rFonts w:ascii="Arial" w:hAnsi="Arial" w:cs="Arial"/>
        </w:rPr>
        <w:t>pob</w:t>
      </w:r>
      <w:r w:rsidR="00A1568B" w:rsidRPr="007148A6">
        <w:rPr>
          <w:rFonts w:ascii="Arial" w:hAnsi="Arial" w:cs="Arial"/>
        </w:rPr>
        <w:t xml:space="preserve">lación con </w:t>
      </w:r>
      <w:r w:rsidR="00CA5D31" w:rsidRPr="007148A6">
        <w:rPr>
          <w:rFonts w:ascii="Arial" w:hAnsi="Arial" w:cs="Arial"/>
        </w:rPr>
        <w:t>necesidades básicas insatisfechas</w:t>
      </w:r>
      <w:r w:rsidR="00441D22" w:rsidRPr="007148A6">
        <w:rPr>
          <w:rFonts w:ascii="Arial" w:hAnsi="Arial" w:cs="Arial"/>
        </w:rPr>
        <w:t xml:space="preserve"> (NBI)</w:t>
      </w:r>
      <w:r w:rsidR="00B944F9" w:rsidRPr="007148A6">
        <w:rPr>
          <w:rFonts w:ascii="Arial" w:hAnsi="Arial" w:cs="Arial"/>
        </w:rPr>
        <w:t xml:space="preserve"> que expresa</w:t>
      </w:r>
      <w:r w:rsidR="00DB4327" w:rsidRPr="007148A6">
        <w:rPr>
          <w:rFonts w:ascii="Arial" w:hAnsi="Arial" w:cs="Arial"/>
        </w:rPr>
        <w:t xml:space="preserve"> las demandas de la </w:t>
      </w:r>
      <w:r w:rsidR="00DB4327" w:rsidRPr="007148A6">
        <w:rPr>
          <w:rFonts w:ascii="Arial" w:hAnsi="Arial" w:cs="Arial"/>
        </w:rPr>
        <w:lastRenderedPageBreak/>
        <w:t>población carenciada</w:t>
      </w:r>
      <w:r w:rsidR="00AC0339" w:rsidRPr="007148A6">
        <w:rPr>
          <w:rFonts w:ascii="Arial" w:hAnsi="Arial" w:cs="Arial"/>
        </w:rPr>
        <w:t>,</w:t>
      </w:r>
      <w:r w:rsidR="00140D56" w:rsidRPr="007148A6">
        <w:rPr>
          <w:rFonts w:ascii="Arial" w:hAnsi="Arial" w:cs="Arial"/>
        </w:rPr>
        <w:t xml:space="preserve"> el que debería se</w:t>
      </w:r>
      <w:r w:rsidR="001A7730" w:rsidRPr="007148A6">
        <w:rPr>
          <w:rFonts w:ascii="Arial" w:hAnsi="Arial" w:cs="Arial"/>
        </w:rPr>
        <w:t>r</w:t>
      </w:r>
      <w:r w:rsidR="00140D56" w:rsidRPr="007148A6">
        <w:rPr>
          <w:rFonts w:ascii="Arial" w:hAnsi="Arial" w:cs="Arial"/>
        </w:rPr>
        <w:t xml:space="preserve"> acomp</w:t>
      </w:r>
      <w:r w:rsidR="006D2336" w:rsidRPr="007148A6">
        <w:rPr>
          <w:rFonts w:ascii="Arial" w:hAnsi="Arial" w:cs="Arial"/>
        </w:rPr>
        <w:t xml:space="preserve">añado por </w:t>
      </w:r>
      <w:r w:rsidR="0020747F" w:rsidRPr="007148A6">
        <w:rPr>
          <w:rFonts w:ascii="Arial" w:hAnsi="Arial" w:cs="Arial"/>
        </w:rPr>
        <w:t xml:space="preserve">el índice de desarrollo </w:t>
      </w:r>
      <w:r w:rsidR="00D25029" w:rsidRPr="007148A6">
        <w:rPr>
          <w:rFonts w:ascii="Arial" w:hAnsi="Arial" w:cs="Arial"/>
        </w:rPr>
        <w:t>humano (ID</w:t>
      </w:r>
      <w:r w:rsidR="00B424ED" w:rsidRPr="007148A6">
        <w:rPr>
          <w:rFonts w:ascii="Arial" w:hAnsi="Arial" w:cs="Arial"/>
        </w:rPr>
        <w:t>H), el cual señala</w:t>
      </w:r>
      <w:r w:rsidR="00DE3108" w:rsidRPr="007148A6">
        <w:rPr>
          <w:rFonts w:ascii="Arial" w:hAnsi="Arial" w:cs="Arial"/>
        </w:rPr>
        <w:t xml:space="preserve"> el grado de prestación que está haciendo el sector p</w:t>
      </w:r>
      <w:r w:rsidR="00330F95" w:rsidRPr="007148A6">
        <w:rPr>
          <w:rFonts w:ascii="Arial" w:hAnsi="Arial" w:cs="Arial"/>
        </w:rPr>
        <w:t xml:space="preserve">úblico para atender las demandas </w:t>
      </w:r>
      <w:r w:rsidR="00E734F9" w:rsidRPr="007148A6">
        <w:rPr>
          <w:rFonts w:ascii="Arial" w:hAnsi="Arial" w:cs="Arial"/>
        </w:rPr>
        <w:t>de los habitantes de cada jurisdicción</w:t>
      </w:r>
      <w:r w:rsidR="00DB2580" w:rsidRPr="007148A6">
        <w:rPr>
          <w:rFonts w:ascii="Arial" w:hAnsi="Arial" w:cs="Arial"/>
        </w:rPr>
        <w:t>.</w:t>
      </w:r>
      <w:r w:rsidR="006E0B01" w:rsidRPr="007148A6">
        <w:rPr>
          <w:rStyle w:val="Refdenotaalpie"/>
          <w:rFonts w:ascii="Arial" w:hAnsi="Arial" w:cs="Arial"/>
        </w:rPr>
        <w:footnoteReference w:id="17"/>
      </w:r>
      <w:r w:rsidR="003E2FF9" w:rsidRPr="007148A6">
        <w:rPr>
          <w:rFonts w:ascii="Arial" w:hAnsi="Arial" w:cs="Arial"/>
        </w:rPr>
        <w:t xml:space="preserve"> </w:t>
      </w:r>
      <w:r w:rsidR="00EB4A5F" w:rsidRPr="007148A6">
        <w:rPr>
          <w:rFonts w:ascii="Arial" w:hAnsi="Arial" w:cs="Arial"/>
        </w:rPr>
        <w:t>La utilización de e</w:t>
      </w:r>
      <w:r w:rsidR="00483CB2" w:rsidRPr="007148A6">
        <w:rPr>
          <w:rFonts w:ascii="Arial" w:hAnsi="Arial" w:cs="Arial"/>
        </w:rPr>
        <w:t xml:space="preserve">stos dos índices </w:t>
      </w:r>
      <w:r w:rsidR="00EB4A5F" w:rsidRPr="007148A6">
        <w:rPr>
          <w:rFonts w:ascii="Arial" w:hAnsi="Arial" w:cs="Arial"/>
        </w:rPr>
        <w:t xml:space="preserve">como distribuidores </w:t>
      </w:r>
      <w:r w:rsidR="007A31C7" w:rsidRPr="007148A6">
        <w:rPr>
          <w:rFonts w:ascii="Arial" w:hAnsi="Arial" w:cs="Arial"/>
        </w:rPr>
        <w:t>tiene un efecto netamente</w:t>
      </w:r>
      <w:r w:rsidR="007268A6" w:rsidRPr="007148A6">
        <w:rPr>
          <w:rFonts w:ascii="Arial" w:hAnsi="Arial" w:cs="Arial"/>
        </w:rPr>
        <w:t xml:space="preserve"> distributivo</w:t>
      </w:r>
      <w:r w:rsidR="007732F8" w:rsidRPr="007148A6">
        <w:rPr>
          <w:rFonts w:ascii="Arial" w:hAnsi="Arial" w:cs="Arial"/>
        </w:rPr>
        <w:t xml:space="preserve"> por lo que estaría en consonancia con los requ</w:t>
      </w:r>
      <w:r w:rsidR="001D0C1E" w:rsidRPr="007148A6">
        <w:rPr>
          <w:rFonts w:ascii="Arial" w:hAnsi="Arial" w:cs="Arial"/>
        </w:rPr>
        <w:t>erimientos del inciso</w:t>
      </w:r>
      <w:r w:rsidR="00E32050" w:rsidRPr="007148A6">
        <w:rPr>
          <w:rFonts w:ascii="Arial" w:hAnsi="Arial" w:cs="Arial"/>
        </w:rPr>
        <w:t xml:space="preserve"> 2 del Art. 75 de la C.N. (</w:t>
      </w:r>
      <w:r w:rsidR="000945F4" w:rsidRPr="007148A6">
        <w:rPr>
          <w:rFonts w:ascii="Arial" w:hAnsi="Arial" w:cs="Arial"/>
        </w:rPr>
        <w:t>“…será equitativa</w:t>
      </w:r>
      <w:r w:rsidR="00F577C7" w:rsidRPr="007148A6">
        <w:rPr>
          <w:rFonts w:ascii="Arial" w:hAnsi="Arial" w:cs="Arial"/>
        </w:rPr>
        <w:t xml:space="preserve">, </w:t>
      </w:r>
      <w:r w:rsidR="00AB594C" w:rsidRPr="007148A6">
        <w:rPr>
          <w:rFonts w:ascii="Arial" w:hAnsi="Arial" w:cs="Arial"/>
        </w:rPr>
        <w:t xml:space="preserve">solidaria y dará prioridad </w:t>
      </w:r>
      <w:r w:rsidR="005C3812" w:rsidRPr="007148A6">
        <w:rPr>
          <w:rFonts w:ascii="Arial" w:hAnsi="Arial" w:cs="Arial"/>
        </w:rPr>
        <w:t>al logro de un grado equivalente de desarro</w:t>
      </w:r>
      <w:r w:rsidR="00B3284E" w:rsidRPr="007148A6">
        <w:rPr>
          <w:rFonts w:ascii="Arial" w:hAnsi="Arial" w:cs="Arial"/>
        </w:rPr>
        <w:t>llo</w:t>
      </w:r>
      <w:r w:rsidR="005C3812" w:rsidRPr="007148A6">
        <w:rPr>
          <w:rFonts w:ascii="Arial" w:hAnsi="Arial" w:cs="Arial"/>
        </w:rPr>
        <w:t>, calidad de vida e igualdad de oportunidades en todo el territorio nacional”</w:t>
      </w:r>
      <w:r w:rsidR="00B3284E" w:rsidRPr="007148A6">
        <w:rPr>
          <w:rFonts w:ascii="Arial" w:hAnsi="Arial" w:cs="Arial"/>
        </w:rPr>
        <w:t>).</w:t>
      </w:r>
      <w:r w:rsidR="00414E96" w:rsidRPr="007148A6">
        <w:rPr>
          <w:rFonts w:ascii="Arial" w:hAnsi="Arial" w:cs="Arial"/>
        </w:rPr>
        <w:t xml:space="preserve"> Es más, la utilización conjunta de ambos índices puede tener </w:t>
      </w:r>
      <w:r w:rsidR="00BC7A3E" w:rsidRPr="007148A6">
        <w:rPr>
          <w:rFonts w:ascii="Arial" w:hAnsi="Arial" w:cs="Arial"/>
        </w:rPr>
        <w:t xml:space="preserve">efecto </w:t>
      </w:r>
      <w:r w:rsidR="00414E96" w:rsidRPr="007148A6">
        <w:rPr>
          <w:rFonts w:ascii="Arial" w:hAnsi="Arial" w:cs="Arial"/>
        </w:rPr>
        <w:t>positivo en el logro del objetivo buscado: en tanto el primero expresa las necesidades insa</w:t>
      </w:r>
      <w:r w:rsidR="004A09B8" w:rsidRPr="007148A6">
        <w:rPr>
          <w:rFonts w:ascii="Arial" w:hAnsi="Arial" w:cs="Arial"/>
        </w:rPr>
        <w:t>tisfechas</w:t>
      </w:r>
      <w:r w:rsidR="00FF4740" w:rsidRPr="007148A6">
        <w:rPr>
          <w:rFonts w:ascii="Arial" w:hAnsi="Arial" w:cs="Arial"/>
        </w:rPr>
        <w:t xml:space="preserve"> y contribuye a “cerrar las brechas de desarrollo”</w:t>
      </w:r>
      <w:r w:rsidR="004A09B8" w:rsidRPr="007148A6">
        <w:rPr>
          <w:rFonts w:ascii="Arial" w:hAnsi="Arial" w:cs="Arial"/>
        </w:rPr>
        <w:t>, el segundo incentiva la mejora en la prestación de servicios a la población</w:t>
      </w:r>
      <w:r w:rsidR="00FF4740" w:rsidRPr="007148A6">
        <w:rPr>
          <w:rFonts w:ascii="Arial" w:hAnsi="Arial" w:cs="Arial"/>
        </w:rPr>
        <w:t xml:space="preserve"> evitando así la posibilidad de que se aliente el mantenimiento de las carencias para obtener más recursos del nivel superior.</w:t>
      </w:r>
    </w:p>
    <w:p w14:paraId="1AAADA65" w14:textId="7D181C9D" w:rsidR="00B04F2D" w:rsidRPr="007148A6" w:rsidRDefault="00B04F2D" w:rsidP="00D467BD">
      <w:pPr>
        <w:spacing w:before="120" w:after="120"/>
        <w:jc w:val="both"/>
        <w:rPr>
          <w:rFonts w:ascii="Arial" w:hAnsi="Arial" w:cs="Arial"/>
        </w:rPr>
      </w:pPr>
      <w:r w:rsidRPr="007148A6">
        <w:rPr>
          <w:rFonts w:ascii="Arial" w:hAnsi="Arial" w:cs="Arial"/>
        </w:rPr>
        <w:t xml:space="preserve">Es interesante destacar que, si se considera el total de recursos recaudados por el sector público argentino, la distribución que el gobierno nacional realiza al conjunto de provincias y la CABA, no representó más que el </w:t>
      </w:r>
      <w:r w:rsidR="009639EB" w:rsidRPr="007148A6">
        <w:rPr>
          <w:rFonts w:ascii="Arial" w:hAnsi="Arial" w:cs="Arial"/>
        </w:rPr>
        <w:t>31</w:t>
      </w:r>
      <w:r w:rsidRPr="007148A6">
        <w:rPr>
          <w:rFonts w:ascii="Arial" w:hAnsi="Arial" w:cs="Arial"/>
        </w:rPr>
        <w:t>% del total</w:t>
      </w:r>
      <w:r w:rsidR="00A900BD" w:rsidRPr="007148A6">
        <w:rPr>
          <w:rFonts w:ascii="Arial" w:hAnsi="Arial" w:cs="Arial"/>
        </w:rPr>
        <w:t xml:space="preserve"> en 2019 como puede apreciarse en el Gráfico 3</w:t>
      </w:r>
      <w:r w:rsidR="009639EB" w:rsidRPr="007148A6">
        <w:rPr>
          <w:rFonts w:ascii="Arial" w:hAnsi="Arial" w:cs="Arial"/>
        </w:rPr>
        <w:t xml:space="preserve"> (un 26% de promedio en los últimos 10 años)</w:t>
      </w:r>
      <w:r w:rsidR="00A900BD" w:rsidRPr="007148A6">
        <w:rPr>
          <w:rFonts w:ascii="Arial" w:hAnsi="Arial" w:cs="Arial"/>
        </w:rPr>
        <w:t>.</w:t>
      </w:r>
    </w:p>
    <w:p w14:paraId="696E0B70" w14:textId="10A9321A" w:rsidR="00A900BD" w:rsidRPr="007148A6" w:rsidRDefault="00A900BD" w:rsidP="00D467BD">
      <w:pPr>
        <w:spacing w:before="120" w:after="120"/>
        <w:jc w:val="both"/>
        <w:rPr>
          <w:rFonts w:ascii="Arial" w:hAnsi="Arial" w:cs="Arial"/>
        </w:rPr>
      </w:pPr>
      <w:r w:rsidRPr="007148A6">
        <w:rPr>
          <w:rFonts w:ascii="Arial" w:hAnsi="Arial" w:cs="Arial"/>
        </w:rPr>
        <w:t xml:space="preserve">En él cabe hacer la misma observación </w:t>
      </w:r>
      <w:r w:rsidR="0061659F" w:rsidRPr="007148A6">
        <w:rPr>
          <w:rFonts w:ascii="Arial" w:hAnsi="Arial" w:cs="Arial"/>
        </w:rPr>
        <w:t>en relación con</w:t>
      </w:r>
      <w:r w:rsidRPr="007148A6">
        <w:rPr>
          <w:rFonts w:ascii="Arial" w:hAnsi="Arial" w:cs="Arial"/>
        </w:rPr>
        <w:t xml:space="preserve"> los datos de 2019, cuya estimación no ha tomado en cuenta la totalidad de los recursos.</w:t>
      </w:r>
    </w:p>
    <w:p w14:paraId="16BE7690" w14:textId="77777777" w:rsidR="00D433CE" w:rsidRPr="007148A6" w:rsidRDefault="00D433CE" w:rsidP="00D433CE">
      <w:pPr>
        <w:jc w:val="center"/>
        <w:rPr>
          <w:rFonts w:ascii="Arial" w:hAnsi="Arial" w:cs="Arial"/>
          <w:b/>
          <w:bCs/>
        </w:rPr>
      </w:pPr>
      <w:r w:rsidRPr="007148A6">
        <w:rPr>
          <w:rFonts w:ascii="Arial" w:hAnsi="Arial" w:cs="Arial"/>
          <w:b/>
          <w:bCs/>
        </w:rPr>
        <w:t>Gráfico Nº 3 – Distribución Bruta al Grupo de Provincias y CABA</w:t>
      </w:r>
    </w:p>
    <w:p w14:paraId="09F95A9F" w14:textId="19D4A3DC" w:rsidR="00A900BD" w:rsidRPr="007148A6" w:rsidRDefault="00D433CE" w:rsidP="00A900BD">
      <w:pPr>
        <w:spacing w:before="120" w:after="120"/>
        <w:jc w:val="center"/>
        <w:rPr>
          <w:rFonts w:ascii="Arial" w:hAnsi="Arial" w:cs="Arial"/>
          <w:b/>
          <w:bCs/>
        </w:rPr>
      </w:pPr>
      <w:r w:rsidRPr="007148A6">
        <w:rPr>
          <w:rFonts w:ascii="Arial" w:hAnsi="Arial" w:cs="Arial"/>
          <w:noProof/>
          <w:lang w:eastAsia="es-AR"/>
        </w:rPr>
        <w:drawing>
          <wp:inline distT="0" distB="0" distL="0" distR="0" wp14:anchorId="0D9EE313" wp14:editId="7C5872C2">
            <wp:extent cx="5608955" cy="3409950"/>
            <wp:effectExtent l="0" t="0" r="10795"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AC6D2AE" w14:textId="77777777" w:rsidR="00D433CE" w:rsidRPr="004860F2" w:rsidRDefault="00D433CE" w:rsidP="00D433CE">
      <w:pPr>
        <w:spacing w:after="0" w:line="240" w:lineRule="auto"/>
        <w:jc w:val="center"/>
        <w:rPr>
          <w:rFonts w:ascii="Arial" w:eastAsia="Times New Roman" w:hAnsi="Arial" w:cs="Arial"/>
          <w:color w:val="000000"/>
          <w:sz w:val="18"/>
          <w:szCs w:val="18"/>
          <w:lang w:eastAsia="es-AR"/>
        </w:rPr>
      </w:pPr>
      <w:r w:rsidRPr="004860F2">
        <w:rPr>
          <w:rFonts w:ascii="Arial" w:eastAsia="Times New Roman" w:hAnsi="Arial" w:cs="Arial"/>
          <w:color w:val="000000"/>
          <w:sz w:val="18"/>
          <w:szCs w:val="18"/>
          <w:lang w:eastAsia="es-AR"/>
        </w:rPr>
        <w:t>Fuente: Elaboración propia. Datos provenientes de la Comisión Federal de Impuestos y de la Dirección Nacional de Investigaciones y Análisis Fiscal.</w:t>
      </w:r>
    </w:p>
    <w:p w14:paraId="63C5D1EA" w14:textId="77777777" w:rsidR="00A900BD" w:rsidRPr="007148A6" w:rsidRDefault="00A900BD" w:rsidP="00A900BD">
      <w:pPr>
        <w:spacing w:before="120" w:after="120"/>
        <w:jc w:val="both"/>
        <w:rPr>
          <w:rFonts w:ascii="Arial" w:hAnsi="Arial" w:cs="Arial"/>
        </w:rPr>
      </w:pPr>
      <w:r w:rsidRPr="007148A6">
        <w:rPr>
          <w:rFonts w:ascii="Arial" w:hAnsi="Arial" w:cs="Arial"/>
        </w:rPr>
        <w:lastRenderedPageBreak/>
        <w:t>Otra cuestión para destacar es la significación relativa que tienen los recursos distribuidos a las jurisdicciones de segundo nivel por el gobierno nacional y que se realizan por fuera del régimen de coparticipación. Esto se puede observar en el gráfico siguiente.</w:t>
      </w:r>
    </w:p>
    <w:p w14:paraId="67009483" w14:textId="77777777" w:rsidR="00D433CE" w:rsidRPr="007148A6" w:rsidRDefault="00D433CE" w:rsidP="00D433CE">
      <w:pPr>
        <w:jc w:val="center"/>
        <w:rPr>
          <w:rFonts w:ascii="Arial" w:eastAsia="Times New Roman" w:hAnsi="Arial" w:cs="Arial"/>
          <w:color w:val="000000"/>
          <w:lang w:eastAsia="es-AR"/>
        </w:rPr>
      </w:pPr>
      <w:r w:rsidRPr="007148A6">
        <w:rPr>
          <w:rFonts w:ascii="Arial" w:hAnsi="Arial" w:cs="Arial"/>
          <w:b/>
          <w:bCs/>
        </w:rPr>
        <w:t>Gráfico Nº 4 - Composición de la Distribución</w:t>
      </w:r>
    </w:p>
    <w:p w14:paraId="1BCDF6DF" w14:textId="156D70DE" w:rsidR="009B7242" w:rsidRPr="007148A6" w:rsidRDefault="00D433CE" w:rsidP="002B4347">
      <w:pPr>
        <w:spacing w:after="0"/>
        <w:jc w:val="center"/>
        <w:rPr>
          <w:rFonts w:ascii="Arial" w:hAnsi="Arial" w:cs="Arial"/>
          <w:b/>
          <w:bCs/>
        </w:rPr>
      </w:pPr>
      <w:r w:rsidRPr="007148A6">
        <w:rPr>
          <w:rFonts w:ascii="Arial" w:hAnsi="Arial" w:cs="Arial"/>
          <w:noProof/>
          <w:lang w:eastAsia="es-AR"/>
        </w:rPr>
        <w:drawing>
          <wp:inline distT="0" distB="0" distL="0" distR="0" wp14:anchorId="228FBE01" wp14:editId="7F78FF88">
            <wp:extent cx="5609230" cy="3807726"/>
            <wp:effectExtent l="0" t="0" r="10795" b="2159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BAD72CE" w14:textId="77777777" w:rsidR="00D433CE" w:rsidRPr="004860F2" w:rsidRDefault="00D433CE" w:rsidP="00D433CE">
      <w:pPr>
        <w:spacing w:after="0" w:line="240" w:lineRule="auto"/>
        <w:jc w:val="center"/>
        <w:rPr>
          <w:rFonts w:ascii="Arial" w:eastAsia="Times New Roman" w:hAnsi="Arial" w:cs="Arial"/>
          <w:color w:val="000000"/>
          <w:sz w:val="18"/>
          <w:szCs w:val="18"/>
          <w:lang w:eastAsia="es-AR"/>
        </w:rPr>
      </w:pPr>
      <w:r w:rsidRPr="004860F2">
        <w:rPr>
          <w:rFonts w:ascii="Arial" w:eastAsia="Times New Roman" w:hAnsi="Arial" w:cs="Arial"/>
          <w:color w:val="000000"/>
          <w:sz w:val="18"/>
          <w:szCs w:val="18"/>
          <w:lang w:eastAsia="es-AR"/>
        </w:rPr>
        <w:t>Fuente: Elaboración Propia en base a datos provenientes de la Comisión Federal de Impuestos.</w:t>
      </w:r>
    </w:p>
    <w:p w14:paraId="1D69B766" w14:textId="77777777" w:rsidR="00D433CE" w:rsidRPr="004860F2" w:rsidRDefault="00D433CE" w:rsidP="00D433CE">
      <w:pPr>
        <w:spacing w:before="120" w:after="0"/>
        <w:jc w:val="both"/>
        <w:rPr>
          <w:rFonts w:ascii="Arial" w:hAnsi="Arial" w:cs="Arial"/>
          <w:sz w:val="18"/>
          <w:szCs w:val="18"/>
        </w:rPr>
      </w:pPr>
    </w:p>
    <w:p w14:paraId="59056FB3" w14:textId="77777777" w:rsidR="00BD1212" w:rsidRPr="007148A6" w:rsidRDefault="00BD1212" w:rsidP="00BD1212">
      <w:pPr>
        <w:spacing w:after="120"/>
        <w:jc w:val="both"/>
        <w:rPr>
          <w:rFonts w:ascii="Arial" w:hAnsi="Arial" w:cs="Arial"/>
        </w:rPr>
      </w:pPr>
      <w:r w:rsidRPr="007148A6">
        <w:rPr>
          <w:rFonts w:ascii="Arial" w:hAnsi="Arial" w:cs="Arial"/>
        </w:rPr>
        <w:t>En el trabajo anterior, también se hizo referencia a la necesidad de tomar en cuenta la distribución geográfica del gasto del gobierno nacional ya que el mismo contribuye en crear capacidad fiscal en la jurisdicción que lo recibe, lo que ayuda a la captación de recursos fiscales propios, además de significar un importante estímulo a la actividad económica local.</w:t>
      </w:r>
    </w:p>
    <w:p w14:paraId="409B15D2" w14:textId="6FF2A9A2" w:rsidR="00BD1212" w:rsidRPr="007148A6" w:rsidRDefault="00BD1212" w:rsidP="00BD1212">
      <w:pPr>
        <w:spacing w:before="120" w:after="120"/>
        <w:jc w:val="both"/>
        <w:rPr>
          <w:rFonts w:ascii="Arial" w:hAnsi="Arial" w:cs="Arial"/>
        </w:rPr>
      </w:pPr>
      <w:r w:rsidRPr="007148A6">
        <w:rPr>
          <w:rFonts w:ascii="Arial" w:hAnsi="Arial" w:cs="Arial"/>
        </w:rPr>
        <w:t>Es por ello por lo que estos autores insisten en que esta distribución geográfica del gasto público nacional debería ser tomada para diseñar un indicador objetivo de distribución y que el mismo está en línea con lo establecido en la norma constitucional. Para una finalidad redistributiva sería conveniente utilizar la inversa del gasto federal asignado a cada jurisdicción.</w:t>
      </w:r>
    </w:p>
    <w:p w14:paraId="759F70DE" w14:textId="77777777" w:rsidR="00D433CE" w:rsidRPr="007148A6" w:rsidRDefault="00D433CE" w:rsidP="00D433CE">
      <w:pPr>
        <w:spacing w:after="120"/>
        <w:jc w:val="both"/>
        <w:rPr>
          <w:rFonts w:ascii="Arial" w:hAnsi="Arial" w:cs="Arial"/>
        </w:rPr>
      </w:pPr>
      <w:r w:rsidRPr="007148A6">
        <w:rPr>
          <w:rFonts w:ascii="Arial" w:hAnsi="Arial" w:cs="Arial"/>
        </w:rPr>
        <w:t>En el cuadro 2 se puede apreciar la evolución del gasto público consolidado y la participación en él de cada nivel de gobierno.</w:t>
      </w:r>
    </w:p>
    <w:p w14:paraId="54ABE964" w14:textId="77777777" w:rsidR="002801F5" w:rsidRPr="007148A6" w:rsidRDefault="002801F5">
      <w:pPr>
        <w:rPr>
          <w:rFonts w:ascii="Arial" w:hAnsi="Arial" w:cs="Arial"/>
          <w:b/>
          <w:bCs/>
        </w:rPr>
      </w:pPr>
      <w:r w:rsidRPr="007148A6">
        <w:rPr>
          <w:rFonts w:ascii="Arial" w:hAnsi="Arial" w:cs="Arial"/>
          <w:b/>
          <w:bCs/>
        </w:rPr>
        <w:br w:type="page"/>
      </w:r>
    </w:p>
    <w:p w14:paraId="7492B971" w14:textId="02DF8988" w:rsidR="00843387" w:rsidRPr="007148A6" w:rsidRDefault="00843387" w:rsidP="002B4347">
      <w:pPr>
        <w:spacing w:after="0"/>
        <w:jc w:val="center"/>
        <w:rPr>
          <w:rFonts w:ascii="Arial" w:hAnsi="Arial" w:cs="Arial"/>
          <w:b/>
          <w:bCs/>
        </w:rPr>
      </w:pPr>
      <w:r w:rsidRPr="007148A6">
        <w:rPr>
          <w:rFonts w:ascii="Arial" w:hAnsi="Arial" w:cs="Arial"/>
          <w:b/>
          <w:bCs/>
        </w:rPr>
        <w:lastRenderedPageBreak/>
        <w:t>Cuadro 2</w:t>
      </w:r>
      <w:r w:rsidR="002B4347" w:rsidRPr="007148A6">
        <w:rPr>
          <w:rFonts w:ascii="Arial" w:hAnsi="Arial" w:cs="Arial"/>
          <w:b/>
          <w:bCs/>
        </w:rPr>
        <w:t xml:space="preserve"> - </w:t>
      </w:r>
      <w:r w:rsidRPr="007148A6">
        <w:rPr>
          <w:rFonts w:ascii="Arial" w:hAnsi="Arial" w:cs="Arial"/>
          <w:b/>
          <w:bCs/>
        </w:rPr>
        <w:t>Gasto público consolidado por nivel de gobierno (1990 - 2017)</w:t>
      </w:r>
    </w:p>
    <w:tbl>
      <w:tblPr>
        <w:tblW w:w="9415" w:type="dxa"/>
        <w:jc w:val="center"/>
        <w:tblCellMar>
          <w:left w:w="70" w:type="dxa"/>
          <w:right w:w="70" w:type="dxa"/>
        </w:tblCellMar>
        <w:tblLook w:val="04A0" w:firstRow="1" w:lastRow="0" w:firstColumn="1" w:lastColumn="0" w:noHBand="0" w:noVBand="1"/>
      </w:tblPr>
      <w:tblGrid>
        <w:gridCol w:w="713"/>
        <w:gridCol w:w="1173"/>
        <w:gridCol w:w="1260"/>
        <w:gridCol w:w="1260"/>
        <w:gridCol w:w="1473"/>
        <w:gridCol w:w="1101"/>
        <w:gridCol w:w="1253"/>
        <w:gridCol w:w="1289"/>
      </w:tblGrid>
      <w:tr w:rsidR="00B63623" w:rsidRPr="007148A6" w14:paraId="3C999388" w14:textId="77777777" w:rsidTr="00CD45D8">
        <w:trPr>
          <w:trHeight w:val="284"/>
          <w:jc w:val="center"/>
        </w:trPr>
        <w:tc>
          <w:tcPr>
            <w:tcW w:w="713" w:type="dxa"/>
            <w:vMerge w:val="restart"/>
            <w:tcBorders>
              <w:top w:val="single" w:sz="8" w:space="0" w:color="auto"/>
              <w:left w:val="single" w:sz="8" w:space="0" w:color="auto"/>
              <w:bottom w:val="single" w:sz="8" w:space="0" w:color="000000"/>
              <w:right w:val="single" w:sz="8" w:space="0" w:color="auto"/>
            </w:tcBorders>
            <w:shd w:val="clear" w:color="auto" w:fill="E7E6E6" w:themeFill="background2"/>
            <w:noWrap/>
            <w:vAlign w:val="center"/>
            <w:hideMark/>
          </w:tcPr>
          <w:p w14:paraId="2B51D5A4" w14:textId="77777777" w:rsidR="00B63623" w:rsidRPr="007148A6" w:rsidRDefault="00B63623" w:rsidP="005E08AA">
            <w:pPr>
              <w:spacing w:after="0" w:line="240" w:lineRule="auto"/>
              <w:jc w:val="center"/>
              <w:rPr>
                <w:rFonts w:ascii="Arial" w:eastAsia="Times New Roman" w:hAnsi="Arial" w:cs="Arial"/>
                <w:b/>
                <w:bCs/>
                <w:color w:val="000000"/>
                <w:lang w:eastAsia="es-AR"/>
              </w:rPr>
            </w:pPr>
            <w:r w:rsidRPr="007148A6">
              <w:rPr>
                <w:rFonts w:ascii="Arial" w:eastAsia="Times New Roman" w:hAnsi="Arial" w:cs="Arial"/>
                <w:b/>
                <w:bCs/>
                <w:color w:val="000000"/>
                <w:lang w:eastAsia="es-AR"/>
              </w:rPr>
              <w:t>Año</w:t>
            </w:r>
          </w:p>
        </w:tc>
        <w:tc>
          <w:tcPr>
            <w:tcW w:w="5121" w:type="dxa"/>
            <w:gridSpan w:val="4"/>
            <w:tcBorders>
              <w:top w:val="single" w:sz="8" w:space="0" w:color="auto"/>
              <w:left w:val="nil"/>
              <w:bottom w:val="single" w:sz="4" w:space="0" w:color="auto"/>
              <w:right w:val="single" w:sz="8" w:space="0" w:color="000000"/>
            </w:tcBorders>
            <w:shd w:val="clear" w:color="auto" w:fill="E7E6E6" w:themeFill="background2"/>
            <w:noWrap/>
            <w:vAlign w:val="bottom"/>
            <w:hideMark/>
          </w:tcPr>
          <w:p w14:paraId="7D7DC100" w14:textId="77777777" w:rsidR="00B63623" w:rsidRPr="007148A6" w:rsidRDefault="00B63623" w:rsidP="005E08AA">
            <w:pPr>
              <w:spacing w:after="0" w:line="240" w:lineRule="auto"/>
              <w:jc w:val="center"/>
              <w:rPr>
                <w:rFonts w:ascii="Arial" w:eastAsia="Times New Roman" w:hAnsi="Arial" w:cs="Arial"/>
                <w:b/>
                <w:bCs/>
                <w:color w:val="000000"/>
                <w:lang w:eastAsia="es-AR"/>
              </w:rPr>
            </w:pPr>
            <w:r w:rsidRPr="007148A6">
              <w:rPr>
                <w:rFonts w:ascii="Arial" w:eastAsia="Times New Roman" w:hAnsi="Arial" w:cs="Arial"/>
                <w:b/>
                <w:bCs/>
                <w:color w:val="000000"/>
                <w:lang w:eastAsia="es-AR"/>
              </w:rPr>
              <w:t>en millones de $</w:t>
            </w:r>
          </w:p>
        </w:tc>
        <w:tc>
          <w:tcPr>
            <w:tcW w:w="3580" w:type="dxa"/>
            <w:gridSpan w:val="3"/>
            <w:tcBorders>
              <w:top w:val="single" w:sz="8" w:space="0" w:color="auto"/>
              <w:left w:val="nil"/>
              <w:bottom w:val="single" w:sz="4" w:space="0" w:color="auto"/>
              <w:right w:val="single" w:sz="8" w:space="0" w:color="000000"/>
            </w:tcBorders>
            <w:shd w:val="clear" w:color="auto" w:fill="E7E6E6" w:themeFill="background2"/>
            <w:noWrap/>
            <w:vAlign w:val="bottom"/>
            <w:hideMark/>
          </w:tcPr>
          <w:p w14:paraId="5C6227B1" w14:textId="77777777" w:rsidR="00B63623" w:rsidRPr="007148A6" w:rsidRDefault="00B63623" w:rsidP="005E08AA">
            <w:pPr>
              <w:spacing w:after="0" w:line="240" w:lineRule="auto"/>
              <w:jc w:val="center"/>
              <w:rPr>
                <w:rFonts w:ascii="Arial" w:eastAsia="Times New Roman" w:hAnsi="Arial" w:cs="Arial"/>
                <w:b/>
                <w:bCs/>
                <w:color w:val="000000"/>
                <w:lang w:eastAsia="es-AR"/>
              </w:rPr>
            </w:pPr>
            <w:r w:rsidRPr="007148A6">
              <w:rPr>
                <w:rFonts w:ascii="Arial" w:eastAsia="Times New Roman" w:hAnsi="Arial" w:cs="Arial"/>
                <w:b/>
                <w:bCs/>
                <w:color w:val="000000"/>
                <w:lang w:eastAsia="es-AR"/>
              </w:rPr>
              <w:t>Distribución</w:t>
            </w:r>
          </w:p>
        </w:tc>
      </w:tr>
      <w:tr w:rsidR="00E703B6" w:rsidRPr="007148A6" w14:paraId="796A1A7F" w14:textId="77777777" w:rsidTr="00CD45D8">
        <w:trPr>
          <w:trHeight w:val="877"/>
          <w:jc w:val="center"/>
        </w:trPr>
        <w:tc>
          <w:tcPr>
            <w:tcW w:w="713" w:type="dxa"/>
            <w:vMerge/>
            <w:tcBorders>
              <w:top w:val="single" w:sz="8" w:space="0" w:color="auto"/>
              <w:left w:val="single" w:sz="8" w:space="0" w:color="auto"/>
              <w:bottom w:val="single" w:sz="8" w:space="0" w:color="000000"/>
              <w:right w:val="single" w:sz="8" w:space="0" w:color="auto"/>
            </w:tcBorders>
            <w:shd w:val="clear" w:color="auto" w:fill="E7E6E6" w:themeFill="background2"/>
            <w:vAlign w:val="center"/>
            <w:hideMark/>
          </w:tcPr>
          <w:p w14:paraId="6ABDA743" w14:textId="77777777" w:rsidR="00B63623" w:rsidRPr="007148A6" w:rsidRDefault="00B63623" w:rsidP="005E08AA">
            <w:pPr>
              <w:spacing w:after="0" w:line="240" w:lineRule="auto"/>
              <w:rPr>
                <w:rFonts w:ascii="Arial" w:eastAsia="Times New Roman" w:hAnsi="Arial" w:cs="Arial"/>
                <w:b/>
                <w:bCs/>
                <w:color w:val="000000"/>
                <w:lang w:eastAsia="es-AR"/>
              </w:rPr>
            </w:pPr>
          </w:p>
        </w:tc>
        <w:tc>
          <w:tcPr>
            <w:tcW w:w="1173" w:type="dxa"/>
            <w:tcBorders>
              <w:top w:val="nil"/>
              <w:left w:val="nil"/>
              <w:bottom w:val="single" w:sz="8" w:space="0" w:color="auto"/>
              <w:right w:val="nil"/>
            </w:tcBorders>
            <w:shd w:val="clear" w:color="auto" w:fill="E7E6E6" w:themeFill="background2"/>
            <w:vAlign w:val="center"/>
            <w:hideMark/>
          </w:tcPr>
          <w:p w14:paraId="08C6B3E6" w14:textId="77777777" w:rsidR="00B63623" w:rsidRPr="007148A6" w:rsidRDefault="00B63623" w:rsidP="005E08AA">
            <w:pPr>
              <w:spacing w:after="0" w:line="240" w:lineRule="auto"/>
              <w:jc w:val="center"/>
              <w:rPr>
                <w:rFonts w:ascii="Arial" w:eastAsia="Times New Roman" w:hAnsi="Arial" w:cs="Arial"/>
                <w:b/>
                <w:bCs/>
                <w:color w:val="000000"/>
                <w:lang w:eastAsia="es-AR"/>
              </w:rPr>
            </w:pPr>
            <w:r w:rsidRPr="007148A6">
              <w:rPr>
                <w:rFonts w:ascii="Arial" w:eastAsia="Times New Roman" w:hAnsi="Arial" w:cs="Arial"/>
                <w:b/>
                <w:bCs/>
                <w:color w:val="000000"/>
                <w:lang w:eastAsia="es-AR"/>
              </w:rPr>
              <w:t>Gasto Nacional SPNF</w:t>
            </w:r>
          </w:p>
        </w:tc>
        <w:tc>
          <w:tcPr>
            <w:tcW w:w="1260" w:type="dxa"/>
            <w:tcBorders>
              <w:top w:val="nil"/>
              <w:left w:val="single" w:sz="4" w:space="0" w:color="auto"/>
              <w:bottom w:val="single" w:sz="8" w:space="0" w:color="auto"/>
              <w:right w:val="single" w:sz="4" w:space="0" w:color="auto"/>
            </w:tcBorders>
            <w:shd w:val="clear" w:color="auto" w:fill="E7E6E6" w:themeFill="background2"/>
            <w:vAlign w:val="center"/>
            <w:hideMark/>
          </w:tcPr>
          <w:p w14:paraId="49F02A03" w14:textId="77777777" w:rsidR="00B63623" w:rsidRPr="007148A6" w:rsidRDefault="00B63623" w:rsidP="005E08AA">
            <w:pPr>
              <w:spacing w:after="0" w:line="240" w:lineRule="auto"/>
              <w:jc w:val="center"/>
              <w:rPr>
                <w:rFonts w:ascii="Arial" w:eastAsia="Times New Roman" w:hAnsi="Arial" w:cs="Arial"/>
                <w:b/>
                <w:bCs/>
                <w:color w:val="000000"/>
                <w:lang w:eastAsia="es-AR"/>
              </w:rPr>
            </w:pPr>
            <w:r w:rsidRPr="007148A6">
              <w:rPr>
                <w:rFonts w:ascii="Arial" w:eastAsia="Times New Roman" w:hAnsi="Arial" w:cs="Arial"/>
                <w:b/>
                <w:bCs/>
                <w:color w:val="000000"/>
                <w:lang w:eastAsia="es-AR"/>
              </w:rPr>
              <w:t>Gasto Provincial + CABA</w:t>
            </w:r>
          </w:p>
        </w:tc>
        <w:tc>
          <w:tcPr>
            <w:tcW w:w="1260" w:type="dxa"/>
            <w:tcBorders>
              <w:top w:val="nil"/>
              <w:left w:val="nil"/>
              <w:bottom w:val="single" w:sz="8" w:space="0" w:color="auto"/>
              <w:right w:val="single" w:sz="4" w:space="0" w:color="auto"/>
            </w:tcBorders>
            <w:shd w:val="clear" w:color="auto" w:fill="E7E6E6" w:themeFill="background2"/>
            <w:vAlign w:val="center"/>
            <w:hideMark/>
          </w:tcPr>
          <w:p w14:paraId="1D889C6B" w14:textId="77777777" w:rsidR="00B63623" w:rsidRPr="007148A6" w:rsidRDefault="00B63623" w:rsidP="005E08AA">
            <w:pPr>
              <w:spacing w:after="0" w:line="240" w:lineRule="auto"/>
              <w:jc w:val="center"/>
              <w:rPr>
                <w:rFonts w:ascii="Arial" w:eastAsia="Times New Roman" w:hAnsi="Arial" w:cs="Arial"/>
                <w:b/>
                <w:bCs/>
                <w:color w:val="000000"/>
                <w:lang w:eastAsia="es-AR"/>
              </w:rPr>
            </w:pPr>
            <w:r w:rsidRPr="007148A6">
              <w:rPr>
                <w:rFonts w:ascii="Arial" w:eastAsia="Times New Roman" w:hAnsi="Arial" w:cs="Arial"/>
                <w:b/>
                <w:bCs/>
                <w:color w:val="000000"/>
                <w:lang w:eastAsia="es-AR"/>
              </w:rPr>
              <w:t>Gasto Municipal</w:t>
            </w:r>
          </w:p>
        </w:tc>
        <w:tc>
          <w:tcPr>
            <w:tcW w:w="1427" w:type="dxa"/>
            <w:tcBorders>
              <w:top w:val="nil"/>
              <w:left w:val="nil"/>
              <w:bottom w:val="single" w:sz="8" w:space="0" w:color="auto"/>
              <w:right w:val="single" w:sz="8" w:space="0" w:color="auto"/>
            </w:tcBorders>
            <w:shd w:val="clear" w:color="auto" w:fill="E7E6E6" w:themeFill="background2"/>
            <w:vAlign w:val="center"/>
            <w:hideMark/>
          </w:tcPr>
          <w:p w14:paraId="1CE57ADB" w14:textId="77777777" w:rsidR="00B63623" w:rsidRPr="007148A6" w:rsidRDefault="00B63623" w:rsidP="005E08AA">
            <w:pPr>
              <w:spacing w:after="0" w:line="240" w:lineRule="auto"/>
              <w:jc w:val="center"/>
              <w:rPr>
                <w:rFonts w:ascii="Arial" w:eastAsia="Times New Roman" w:hAnsi="Arial" w:cs="Arial"/>
                <w:b/>
                <w:bCs/>
                <w:color w:val="000000"/>
                <w:lang w:eastAsia="es-AR"/>
              </w:rPr>
            </w:pPr>
            <w:r w:rsidRPr="007148A6">
              <w:rPr>
                <w:rFonts w:ascii="Arial" w:eastAsia="Times New Roman" w:hAnsi="Arial" w:cs="Arial"/>
                <w:b/>
                <w:bCs/>
                <w:color w:val="000000"/>
                <w:lang w:eastAsia="es-AR"/>
              </w:rPr>
              <w:t>Gasto Consolidado</w:t>
            </w:r>
          </w:p>
        </w:tc>
        <w:tc>
          <w:tcPr>
            <w:tcW w:w="1101" w:type="dxa"/>
            <w:tcBorders>
              <w:top w:val="nil"/>
              <w:left w:val="nil"/>
              <w:bottom w:val="single" w:sz="8" w:space="0" w:color="auto"/>
              <w:right w:val="single" w:sz="4" w:space="0" w:color="auto"/>
            </w:tcBorders>
            <w:shd w:val="clear" w:color="auto" w:fill="E7E6E6" w:themeFill="background2"/>
            <w:noWrap/>
            <w:vAlign w:val="center"/>
            <w:hideMark/>
          </w:tcPr>
          <w:p w14:paraId="2AA6F010" w14:textId="77777777" w:rsidR="00B63623" w:rsidRPr="007148A6" w:rsidRDefault="00B63623" w:rsidP="005E08AA">
            <w:pPr>
              <w:spacing w:after="0" w:line="240" w:lineRule="auto"/>
              <w:jc w:val="center"/>
              <w:rPr>
                <w:rFonts w:ascii="Arial" w:eastAsia="Times New Roman" w:hAnsi="Arial" w:cs="Arial"/>
                <w:b/>
                <w:bCs/>
                <w:color w:val="000000"/>
                <w:lang w:eastAsia="es-AR"/>
              </w:rPr>
            </w:pPr>
            <w:r w:rsidRPr="007148A6">
              <w:rPr>
                <w:rFonts w:ascii="Arial" w:eastAsia="Times New Roman" w:hAnsi="Arial" w:cs="Arial"/>
                <w:b/>
                <w:bCs/>
                <w:color w:val="000000"/>
                <w:lang w:eastAsia="es-AR"/>
              </w:rPr>
              <w:t>Nación</w:t>
            </w:r>
          </w:p>
        </w:tc>
        <w:tc>
          <w:tcPr>
            <w:tcW w:w="1191" w:type="dxa"/>
            <w:tcBorders>
              <w:top w:val="nil"/>
              <w:left w:val="nil"/>
              <w:bottom w:val="single" w:sz="8" w:space="0" w:color="auto"/>
              <w:right w:val="nil"/>
            </w:tcBorders>
            <w:shd w:val="clear" w:color="auto" w:fill="E7E6E6" w:themeFill="background2"/>
            <w:vAlign w:val="center"/>
            <w:hideMark/>
          </w:tcPr>
          <w:p w14:paraId="61545ABF" w14:textId="77777777" w:rsidR="00B63623" w:rsidRPr="007148A6" w:rsidRDefault="00B63623" w:rsidP="005E08AA">
            <w:pPr>
              <w:spacing w:after="0" w:line="240" w:lineRule="auto"/>
              <w:jc w:val="center"/>
              <w:rPr>
                <w:rFonts w:ascii="Arial" w:eastAsia="Times New Roman" w:hAnsi="Arial" w:cs="Arial"/>
                <w:b/>
                <w:bCs/>
                <w:color w:val="000000"/>
                <w:lang w:eastAsia="es-AR"/>
              </w:rPr>
            </w:pPr>
            <w:r w:rsidRPr="007148A6">
              <w:rPr>
                <w:rFonts w:ascii="Arial" w:eastAsia="Times New Roman" w:hAnsi="Arial" w:cs="Arial"/>
                <w:b/>
                <w:bCs/>
                <w:color w:val="000000"/>
                <w:lang w:eastAsia="es-AR"/>
              </w:rPr>
              <w:t>Provincias + CABA</w:t>
            </w:r>
          </w:p>
        </w:tc>
        <w:tc>
          <w:tcPr>
            <w:tcW w:w="1287" w:type="dxa"/>
            <w:tcBorders>
              <w:top w:val="nil"/>
              <w:left w:val="single" w:sz="4" w:space="0" w:color="auto"/>
              <w:bottom w:val="single" w:sz="8" w:space="0" w:color="auto"/>
              <w:right w:val="single" w:sz="8" w:space="0" w:color="auto"/>
            </w:tcBorders>
            <w:shd w:val="clear" w:color="auto" w:fill="E7E6E6" w:themeFill="background2"/>
            <w:noWrap/>
            <w:vAlign w:val="center"/>
            <w:hideMark/>
          </w:tcPr>
          <w:p w14:paraId="7C2A2F6B" w14:textId="77777777" w:rsidR="00B63623" w:rsidRPr="007148A6" w:rsidRDefault="00B63623" w:rsidP="005E08AA">
            <w:pPr>
              <w:spacing w:after="0" w:line="240" w:lineRule="auto"/>
              <w:jc w:val="center"/>
              <w:rPr>
                <w:rFonts w:ascii="Arial" w:eastAsia="Times New Roman" w:hAnsi="Arial" w:cs="Arial"/>
                <w:b/>
                <w:bCs/>
                <w:color w:val="000000"/>
                <w:lang w:eastAsia="es-AR"/>
              </w:rPr>
            </w:pPr>
            <w:r w:rsidRPr="007148A6">
              <w:rPr>
                <w:rFonts w:ascii="Arial" w:eastAsia="Times New Roman" w:hAnsi="Arial" w:cs="Arial"/>
                <w:b/>
                <w:bCs/>
                <w:color w:val="000000"/>
                <w:lang w:eastAsia="es-AR"/>
              </w:rPr>
              <w:t>Municipios</w:t>
            </w:r>
          </w:p>
        </w:tc>
      </w:tr>
      <w:tr w:rsidR="00E703B6" w:rsidRPr="007148A6" w14:paraId="7B83A483" w14:textId="77777777" w:rsidTr="00CD45D8">
        <w:trPr>
          <w:trHeight w:val="284"/>
          <w:jc w:val="center"/>
        </w:trPr>
        <w:tc>
          <w:tcPr>
            <w:tcW w:w="713" w:type="dxa"/>
            <w:tcBorders>
              <w:top w:val="nil"/>
              <w:left w:val="single" w:sz="8" w:space="0" w:color="auto"/>
              <w:bottom w:val="nil"/>
              <w:right w:val="single" w:sz="8" w:space="0" w:color="auto"/>
            </w:tcBorders>
            <w:shd w:val="clear" w:color="auto" w:fill="E7E6E6" w:themeFill="background2"/>
            <w:noWrap/>
            <w:vAlign w:val="bottom"/>
            <w:hideMark/>
          </w:tcPr>
          <w:p w14:paraId="76877970" w14:textId="77777777" w:rsidR="00B63623" w:rsidRPr="007148A6" w:rsidRDefault="00B63623" w:rsidP="005E08AA">
            <w:pPr>
              <w:spacing w:after="0" w:line="240" w:lineRule="auto"/>
              <w:jc w:val="right"/>
              <w:rPr>
                <w:rFonts w:ascii="Arial" w:eastAsia="Times New Roman" w:hAnsi="Arial" w:cs="Arial"/>
                <w:b/>
                <w:bCs/>
                <w:color w:val="000000"/>
                <w:lang w:eastAsia="es-AR"/>
              </w:rPr>
            </w:pPr>
            <w:r w:rsidRPr="007148A6">
              <w:rPr>
                <w:rFonts w:ascii="Arial" w:eastAsia="Times New Roman" w:hAnsi="Arial" w:cs="Arial"/>
                <w:b/>
                <w:bCs/>
                <w:color w:val="000000"/>
                <w:lang w:eastAsia="es-AR"/>
              </w:rPr>
              <w:t>1990</w:t>
            </w:r>
          </w:p>
        </w:tc>
        <w:tc>
          <w:tcPr>
            <w:tcW w:w="1173" w:type="dxa"/>
            <w:tcBorders>
              <w:top w:val="nil"/>
              <w:left w:val="nil"/>
              <w:bottom w:val="nil"/>
              <w:right w:val="nil"/>
            </w:tcBorders>
            <w:shd w:val="clear" w:color="auto" w:fill="auto"/>
            <w:noWrap/>
            <w:vAlign w:val="center"/>
            <w:hideMark/>
          </w:tcPr>
          <w:p w14:paraId="464AAEE7"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12.362</w:t>
            </w:r>
          </w:p>
        </w:tc>
        <w:tc>
          <w:tcPr>
            <w:tcW w:w="1260" w:type="dxa"/>
            <w:tcBorders>
              <w:top w:val="nil"/>
              <w:left w:val="single" w:sz="4" w:space="0" w:color="auto"/>
              <w:bottom w:val="nil"/>
              <w:right w:val="single" w:sz="4" w:space="0" w:color="auto"/>
            </w:tcBorders>
            <w:shd w:val="clear" w:color="auto" w:fill="auto"/>
            <w:noWrap/>
            <w:vAlign w:val="center"/>
            <w:hideMark/>
          </w:tcPr>
          <w:p w14:paraId="3A24BF71"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6.090</w:t>
            </w:r>
          </w:p>
        </w:tc>
        <w:tc>
          <w:tcPr>
            <w:tcW w:w="1260" w:type="dxa"/>
            <w:tcBorders>
              <w:top w:val="nil"/>
              <w:left w:val="nil"/>
              <w:bottom w:val="nil"/>
              <w:right w:val="single" w:sz="4" w:space="0" w:color="auto"/>
            </w:tcBorders>
            <w:shd w:val="clear" w:color="auto" w:fill="auto"/>
            <w:noWrap/>
            <w:vAlign w:val="center"/>
            <w:hideMark/>
          </w:tcPr>
          <w:p w14:paraId="2ED11EA1"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1.308</w:t>
            </w:r>
          </w:p>
        </w:tc>
        <w:tc>
          <w:tcPr>
            <w:tcW w:w="1427" w:type="dxa"/>
            <w:tcBorders>
              <w:top w:val="nil"/>
              <w:left w:val="nil"/>
              <w:bottom w:val="nil"/>
              <w:right w:val="nil"/>
            </w:tcBorders>
            <w:shd w:val="clear" w:color="auto" w:fill="auto"/>
            <w:noWrap/>
            <w:vAlign w:val="center"/>
            <w:hideMark/>
          </w:tcPr>
          <w:p w14:paraId="2790D264"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19.760</w:t>
            </w:r>
          </w:p>
        </w:tc>
        <w:tc>
          <w:tcPr>
            <w:tcW w:w="1101" w:type="dxa"/>
            <w:tcBorders>
              <w:top w:val="nil"/>
              <w:left w:val="single" w:sz="4" w:space="0" w:color="auto"/>
              <w:bottom w:val="nil"/>
              <w:right w:val="single" w:sz="4" w:space="0" w:color="auto"/>
            </w:tcBorders>
            <w:shd w:val="clear" w:color="auto" w:fill="auto"/>
            <w:noWrap/>
            <w:vAlign w:val="bottom"/>
            <w:hideMark/>
          </w:tcPr>
          <w:p w14:paraId="79E4203D"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62,56%</w:t>
            </w:r>
          </w:p>
        </w:tc>
        <w:tc>
          <w:tcPr>
            <w:tcW w:w="1191" w:type="dxa"/>
            <w:tcBorders>
              <w:top w:val="nil"/>
              <w:left w:val="nil"/>
              <w:bottom w:val="nil"/>
              <w:right w:val="nil"/>
            </w:tcBorders>
            <w:shd w:val="clear" w:color="auto" w:fill="auto"/>
            <w:noWrap/>
            <w:vAlign w:val="bottom"/>
            <w:hideMark/>
          </w:tcPr>
          <w:p w14:paraId="3FB5C32A"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30,82%</w:t>
            </w:r>
          </w:p>
        </w:tc>
        <w:tc>
          <w:tcPr>
            <w:tcW w:w="1287" w:type="dxa"/>
            <w:tcBorders>
              <w:top w:val="nil"/>
              <w:left w:val="single" w:sz="4" w:space="0" w:color="auto"/>
              <w:bottom w:val="nil"/>
              <w:right w:val="single" w:sz="8" w:space="0" w:color="auto"/>
            </w:tcBorders>
            <w:shd w:val="clear" w:color="auto" w:fill="auto"/>
            <w:noWrap/>
            <w:vAlign w:val="bottom"/>
            <w:hideMark/>
          </w:tcPr>
          <w:p w14:paraId="3B0CF79A"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6,62%</w:t>
            </w:r>
          </w:p>
        </w:tc>
      </w:tr>
      <w:tr w:rsidR="00E703B6" w:rsidRPr="007148A6" w14:paraId="11213CA6" w14:textId="77777777" w:rsidTr="00CD45D8">
        <w:trPr>
          <w:trHeight w:val="335"/>
          <w:jc w:val="center"/>
        </w:trPr>
        <w:tc>
          <w:tcPr>
            <w:tcW w:w="713" w:type="dxa"/>
            <w:tcBorders>
              <w:top w:val="nil"/>
              <w:left w:val="single" w:sz="8" w:space="0" w:color="auto"/>
              <w:bottom w:val="nil"/>
              <w:right w:val="single" w:sz="8" w:space="0" w:color="auto"/>
            </w:tcBorders>
            <w:shd w:val="clear" w:color="auto" w:fill="E7E6E6" w:themeFill="background2"/>
            <w:noWrap/>
            <w:vAlign w:val="bottom"/>
            <w:hideMark/>
          </w:tcPr>
          <w:p w14:paraId="044B2011" w14:textId="77777777" w:rsidR="00B63623" w:rsidRPr="007148A6" w:rsidRDefault="00B63623" w:rsidP="005E08AA">
            <w:pPr>
              <w:spacing w:after="0" w:line="240" w:lineRule="auto"/>
              <w:jc w:val="right"/>
              <w:rPr>
                <w:rFonts w:ascii="Arial" w:eastAsia="Times New Roman" w:hAnsi="Arial" w:cs="Arial"/>
                <w:b/>
                <w:bCs/>
                <w:color w:val="000000"/>
                <w:lang w:eastAsia="es-AR"/>
              </w:rPr>
            </w:pPr>
            <w:r w:rsidRPr="007148A6">
              <w:rPr>
                <w:rFonts w:ascii="Arial" w:eastAsia="Times New Roman" w:hAnsi="Arial" w:cs="Arial"/>
                <w:b/>
                <w:bCs/>
                <w:color w:val="000000"/>
                <w:lang w:eastAsia="es-AR"/>
              </w:rPr>
              <w:t>1991</w:t>
            </w:r>
          </w:p>
        </w:tc>
        <w:tc>
          <w:tcPr>
            <w:tcW w:w="1173" w:type="dxa"/>
            <w:tcBorders>
              <w:top w:val="nil"/>
              <w:left w:val="nil"/>
              <w:bottom w:val="nil"/>
              <w:right w:val="nil"/>
            </w:tcBorders>
            <w:shd w:val="clear" w:color="auto" w:fill="auto"/>
            <w:noWrap/>
            <w:vAlign w:val="center"/>
            <w:hideMark/>
          </w:tcPr>
          <w:p w14:paraId="5119E3FF"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30.389</w:t>
            </w:r>
          </w:p>
        </w:tc>
        <w:tc>
          <w:tcPr>
            <w:tcW w:w="1260" w:type="dxa"/>
            <w:tcBorders>
              <w:top w:val="nil"/>
              <w:left w:val="single" w:sz="4" w:space="0" w:color="auto"/>
              <w:bottom w:val="nil"/>
              <w:right w:val="single" w:sz="4" w:space="0" w:color="auto"/>
            </w:tcBorders>
            <w:shd w:val="clear" w:color="auto" w:fill="auto"/>
            <w:noWrap/>
            <w:vAlign w:val="center"/>
            <w:hideMark/>
          </w:tcPr>
          <w:p w14:paraId="694C93D6"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16.935</w:t>
            </w:r>
          </w:p>
        </w:tc>
        <w:tc>
          <w:tcPr>
            <w:tcW w:w="1260" w:type="dxa"/>
            <w:tcBorders>
              <w:top w:val="nil"/>
              <w:left w:val="nil"/>
              <w:bottom w:val="nil"/>
              <w:right w:val="single" w:sz="4" w:space="0" w:color="auto"/>
            </w:tcBorders>
            <w:shd w:val="clear" w:color="auto" w:fill="auto"/>
            <w:noWrap/>
            <w:vAlign w:val="center"/>
            <w:hideMark/>
          </w:tcPr>
          <w:p w14:paraId="39D06FA7"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4.048</w:t>
            </w:r>
          </w:p>
        </w:tc>
        <w:tc>
          <w:tcPr>
            <w:tcW w:w="1427" w:type="dxa"/>
            <w:tcBorders>
              <w:top w:val="nil"/>
              <w:left w:val="nil"/>
              <w:bottom w:val="nil"/>
              <w:right w:val="nil"/>
            </w:tcBorders>
            <w:shd w:val="clear" w:color="auto" w:fill="auto"/>
            <w:noWrap/>
            <w:vAlign w:val="center"/>
            <w:hideMark/>
          </w:tcPr>
          <w:p w14:paraId="0C583DA0"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51.372</w:t>
            </w:r>
          </w:p>
        </w:tc>
        <w:tc>
          <w:tcPr>
            <w:tcW w:w="1101" w:type="dxa"/>
            <w:tcBorders>
              <w:top w:val="nil"/>
              <w:left w:val="single" w:sz="4" w:space="0" w:color="auto"/>
              <w:bottom w:val="nil"/>
              <w:right w:val="single" w:sz="4" w:space="0" w:color="auto"/>
            </w:tcBorders>
            <w:shd w:val="clear" w:color="auto" w:fill="auto"/>
            <w:noWrap/>
            <w:vAlign w:val="bottom"/>
            <w:hideMark/>
          </w:tcPr>
          <w:p w14:paraId="3040E271"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59,15%</w:t>
            </w:r>
          </w:p>
        </w:tc>
        <w:tc>
          <w:tcPr>
            <w:tcW w:w="1191" w:type="dxa"/>
            <w:tcBorders>
              <w:top w:val="nil"/>
              <w:left w:val="nil"/>
              <w:bottom w:val="nil"/>
              <w:right w:val="nil"/>
            </w:tcBorders>
            <w:shd w:val="clear" w:color="auto" w:fill="auto"/>
            <w:noWrap/>
            <w:vAlign w:val="bottom"/>
            <w:hideMark/>
          </w:tcPr>
          <w:p w14:paraId="443BCF2F"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32,97%</w:t>
            </w:r>
          </w:p>
        </w:tc>
        <w:tc>
          <w:tcPr>
            <w:tcW w:w="1287" w:type="dxa"/>
            <w:tcBorders>
              <w:top w:val="nil"/>
              <w:left w:val="single" w:sz="4" w:space="0" w:color="auto"/>
              <w:bottom w:val="nil"/>
              <w:right w:val="single" w:sz="8" w:space="0" w:color="auto"/>
            </w:tcBorders>
            <w:shd w:val="clear" w:color="auto" w:fill="auto"/>
            <w:noWrap/>
            <w:vAlign w:val="bottom"/>
            <w:hideMark/>
          </w:tcPr>
          <w:p w14:paraId="45881883"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7,88%</w:t>
            </w:r>
          </w:p>
        </w:tc>
      </w:tr>
      <w:tr w:rsidR="00E703B6" w:rsidRPr="007148A6" w14:paraId="42B2FFDD" w14:textId="77777777" w:rsidTr="00CD45D8">
        <w:trPr>
          <w:trHeight w:val="284"/>
          <w:jc w:val="center"/>
        </w:trPr>
        <w:tc>
          <w:tcPr>
            <w:tcW w:w="713" w:type="dxa"/>
            <w:tcBorders>
              <w:top w:val="nil"/>
              <w:left w:val="single" w:sz="8" w:space="0" w:color="auto"/>
              <w:bottom w:val="nil"/>
              <w:right w:val="single" w:sz="8" w:space="0" w:color="auto"/>
            </w:tcBorders>
            <w:shd w:val="clear" w:color="auto" w:fill="E7E6E6" w:themeFill="background2"/>
            <w:noWrap/>
            <w:vAlign w:val="bottom"/>
            <w:hideMark/>
          </w:tcPr>
          <w:p w14:paraId="432064BA" w14:textId="77777777" w:rsidR="00B63623" w:rsidRPr="007148A6" w:rsidRDefault="00B63623" w:rsidP="005E08AA">
            <w:pPr>
              <w:spacing w:after="0" w:line="240" w:lineRule="auto"/>
              <w:jc w:val="right"/>
              <w:rPr>
                <w:rFonts w:ascii="Arial" w:eastAsia="Times New Roman" w:hAnsi="Arial" w:cs="Arial"/>
                <w:b/>
                <w:bCs/>
                <w:color w:val="000000"/>
                <w:lang w:eastAsia="es-AR"/>
              </w:rPr>
            </w:pPr>
            <w:r w:rsidRPr="007148A6">
              <w:rPr>
                <w:rFonts w:ascii="Arial" w:eastAsia="Times New Roman" w:hAnsi="Arial" w:cs="Arial"/>
                <w:b/>
                <w:bCs/>
                <w:color w:val="000000"/>
                <w:lang w:eastAsia="es-AR"/>
              </w:rPr>
              <w:t>1992</w:t>
            </w:r>
          </w:p>
        </w:tc>
        <w:tc>
          <w:tcPr>
            <w:tcW w:w="1173" w:type="dxa"/>
            <w:tcBorders>
              <w:top w:val="nil"/>
              <w:left w:val="nil"/>
              <w:bottom w:val="nil"/>
              <w:right w:val="nil"/>
            </w:tcBorders>
            <w:shd w:val="clear" w:color="auto" w:fill="auto"/>
            <w:noWrap/>
            <w:vAlign w:val="center"/>
            <w:hideMark/>
          </w:tcPr>
          <w:p w14:paraId="4CC504CB"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36.613</w:t>
            </w:r>
          </w:p>
        </w:tc>
        <w:tc>
          <w:tcPr>
            <w:tcW w:w="1260" w:type="dxa"/>
            <w:tcBorders>
              <w:top w:val="nil"/>
              <w:left w:val="single" w:sz="4" w:space="0" w:color="auto"/>
              <w:bottom w:val="nil"/>
              <w:right w:val="single" w:sz="4" w:space="0" w:color="auto"/>
            </w:tcBorders>
            <w:shd w:val="clear" w:color="auto" w:fill="auto"/>
            <w:noWrap/>
            <w:vAlign w:val="center"/>
            <w:hideMark/>
          </w:tcPr>
          <w:p w14:paraId="3D55B5B0"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24.036</w:t>
            </w:r>
          </w:p>
        </w:tc>
        <w:tc>
          <w:tcPr>
            <w:tcW w:w="1260" w:type="dxa"/>
            <w:tcBorders>
              <w:top w:val="nil"/>
              <w:left w:val="nil"/>
              <w:bottom w:val="nil"/>
              <w:right w:val="single" w:sz="4" w:space="0" w:color="auto"/>
            </w:tcBorders>
            <w:shd w:val="clear" w:color="auto" w:fill="auto"/>
            <w:noWrap/>
            <w:vAlign w:val="center"/>
            <w:hideMark/>
          </w:tcPr>
          <w:p w14:paraId="1C2807E4"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5.406</w:t>
            </w:r>
          </w:p>
        </w:tc>
        <w:tc>
          <w:tcPr>
            <w:tcW w:w="1427" w:type="dxa"/>
            <w:tcBorders>
              <w:top w:val="nil"/>
              <w:left w:val="nil"/>
              <w:bottom w:val="nil"/>
              <w:right w:val="nil"/>
            </w:tcBorders>
            <w:shd w:val="clear" w:color="auto" w:fill="auto"/>
            <w:noWrap/>
            <w:vAlign w:val="center"/>
            <w:hideMark/>
          </w:tcPr>
          <w:p w14:paraId="46C37F55"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66.055</w:t>
            </w:r>
          </w:p>
        </w:tc>
        <w:tc>
          <w:tcPr>
            <w:tcW w:w="1101" w:type="dxa"/>
            <w:tcBorders>
              <w:top w:val="nil"/>
              <w:left w:val="single" w:sz="4" w:space="0" w:color="auto"/>
              <w:bottom w:val="nil"/>
              <w:right w:val="single" w:sz="4" w:space="0" w:color="auto"/>
            </w:tcBorders>
            <w:shd w:val="clear" w:color="auto" w:fill="auto"/>
            <w:noWrap/>
            <w:vAlign w:val="bottom"/>
            <w:hideMark/>
          </w:tcPr>
          <w:p w14:paraId="54F8C0FC"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55,43%</w:t>
            </w:r>
          </w:p>
        </w:tc>
        <w:tc>
          <w:tcPr>
            <w:tcW w:w="1191" w:type="dxa"/>
            <w:tcBorders>
              <w:top w:val="nil"/>
              <w:left w:val="nil"/>
              <w:bottom w:val="nil"/>
              <w:right w:val="nil"/>
            </w:tcBorders>
            <w:shd w:val="clear" w:color="auto" w:fill="auto"/>
            <w:noWrap/>
            <w:vAlign w:val="bottom"/>
            <w:hideMark/>
          </w:tcPr>
          <w:p w14:paraId="66106CF8"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36,39%</w:t>
            </w:r>
          </w:p>
        </w:tc>
        <w:tc>
          <w:tcPr>
            <w:tcW w:w="1287" w:type="dxa"/>
            <w:tcBorders>
              <w:top w:val="nil"/>
              <w:left w:val="single" w:sz="4" w:space="0" w:color="auto"/>
              <w:bottom w:val="nil"/>
              <w:right w:val="single" w:sz="8" w:space="0" w:color="auto"/>
            </w:tcBorders>
            <w:shd w:val="clear" w:color="auto" w:fill="auto"/>
            <w:noWrap/>
            <w:vAlign w:val="bottom"/>
            <w:hideMark/>
          </w:tcPr>
          <w:p w14:paraId="1F3155BD"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8,18%</w:t>
            </w:r>
          </w:p>
        </w:tc>
      </w:tr>
      <w:tr w:rsidR="00E703B6" w:rsidRPr="007148A6" w14:paraId="45CC8DBA" w14:textId="77777777" w:rsidTr="00CD45D8">
        <w:trPr>
          <w:trHeight w:val="284"/>
          <w:jc w:val="center"/>
        </w:trPr>
        <w:tc>
          <w:tcPr>
            <w:tcW w:w="713" w:type="dxa"/>
            <w:tcBorders>
              <w:top w:val="nil"/>
              <w:left w:val="single" w:sz="8" w:space="0" w:color="auto"/>
              <w:bottom w:val="nil"/>
              <w:right w:val="single" w:sz="8" w:space="0" w:color="auto"/>
            </w:tcBorders>
            <w:shd w:val="clear" w:color="auto" w:fill="E7E6E6" w:themeFill="background2"/>
            <w:noWrap/>
            <w:vAlign w:val="bottom"/>
            <w:hideMark/>
          </w:tcPr>
          <w:p w14:paraId="680E90B5" w14:textId="77777777" w:rsidR="00B63623" w:rsidRPr="007148A6" w:rsidRDefault="00B63623" w:rsidP="005E08AA">
            <w:pPr>
              <w:spacing w:after="0" w:line="240" w:lineRule="auto"/>
              <w:jc w:val="right"/>
              <w:rPr>
                <w:rFonts w:ascii="Arial" w:eastAsia="Times New Roman" w:hAnsi="Arial" w:cs="Arial"/>
                <w:b/>
                <w:bCs/>
                <w:color w:val="000000"/>
                <w:lang w:eastAsia="es-AR"/>
              </w:rPr>
            </w:pPr>
            <w:r w:rsidRPr="007148A6">
              <w:rPr>
                <w:rFonts w:ascii="Arial" w:eastAsia="Times New Roman" w:hAnsi="Arial" w:cs="Arial"/>
                <w:b/>
                <w:bCs/>
                <w:color w:val="000000"/>
                <w:lang w:eastAsia="es-AR"/>
              </w:rPr>
              <w:t>1993</w:t>
            </w:r>
          </w:p>
        </w:tc>
        <w:tc>
          <w:tcPr>
            <w:tcW w:w="1173" w:type="dxa"/>
            <w:tcBorders>
              <w:top w:val="nil"/>
              <w:left w:val="nil"/>
              <w:bottom w:val="nil"/>
              <w:right w:val="nil"/>
            </w:tcBorders>
            <w:shd w:val="clear" w:color="auto" w:fill="auto"/>
            <w:noWrap/>
            <w:vAlign w:val="center"/>
            <w:hideMark/>
          </w:tcPr>
          <w:p w14:paraId="11D25E47"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38.676</w:t>
            </w:r>
          </w:p>
        </w:tc>
        <w:tc>
          <w:tcPr>
            <w:tcW w:w="1260" w:type="dxa"/>
            <w:tcBorders>
              <w:top w:val="nil"/>
              <w:left w:val="single" w:sz="4" w:space="0" w:color="auto"/>
              <w:bottom w:val="nil"/>
              <w:right w:val="single" w:sz="4" w:space="0" w:color="auto"/>
            </w:tcBorders>
            <w:shd w:val="clear" w:color="auto" w:fill="auto"/>
            <w:noWrap/>
            <w:vAlign w:val="center"/>
            <w:hideMark/>
          </w:tcPr>
          <w:p w14:paraId="4E777A32"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29.630</w:t>
            </w:r>
          </w:p>
        </w:tc>
        <w:tc>
          <w:tcPr>
            <w:tcW w:w="1260" w:type="dxa"/>
            <w:tcBorders>
              <w:top w:val="nil"/>
              <w:left w:val="nil"/>
              <w:bottom w:val="nil"/>
              <w:right w:val="single" w:sz="4" w:space="0" w:color="auto"/>
            </w:tcBorders>
            <w:shd w:val="clear" w:color="auto" w:fill="auto"/>
            <w:noWrap/>
            <w:vAlign w:val="center"/>
            <w:hideMark/>
          </w:tcPr>
          <w:p w14:paraId="5897B70A"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6.696</w:t>
            </w:r>
          </w:p>
        </w:tc>
        <w:tc>
          <w:tcPr>
            <w:tcW w:w="1427" w:type="dxa"/>
            <w:tcBorders>
              <w:top w:val="nil"/>
              <w:left w:val="nil"/>
              <w:bottom w:val="nil"/>
              <w:right w:val="nil"/>
            </w:tcBorders>
            <w:shd w:val="clear" w:color="auto" w:fill="auto"/>
            <w:noWrap/>
            <w:vAlign w:val="center"/>
            <w:hideMark/>
          </w:tcPr>
          <w:p w14:paraId="4F55E388"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75.002</w:t>
            </w:r>
          </w:p>
        </w:tc>
        <w:tc>
          <w:tcPr>
            <w:tcW w:w="1101" w:type="dxa"/>
            <w:tcBorders>
              <w:top w:val="nil"/>
              <w:left w:val="single" w:sz="4" w:space="0" w:color="auto"/>
              <w:bottom w:val="nil"/>
              <w:right w:val="single" w:sz="4" w:space="0" w:color="auto"/>
            </w:tcBorders>
            <w:shd w:val="clear" w:color="auto" w:fill="auto"/>
            <w:noWrap/>
            <w:vAlign w:val="bottom"/>
            <w:hideMark/>
          </w:tcPr>
          <w:p w14:paraId="2D06BDA3"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51,57%</w:t>
            </w:r>
          </w:p>
        </w:tc>
        <w:tc>
          <w:tcPr>
            <w:tcW w:w="1191" w:type="dxa"/>
            <w:tcBorders>
              <w:top w:val="nil"/>
              <w:left w:val="nil"/>
              <w:bottom w:val="nil"/>
              <w:right w:val="nil"/>
            </w:tcBorders>
            <w:shd w:val="clear" w:color="auto" w:fill="auto"/>
            <w:noWrap/>
            <w:vAlign w:val="bottom"/>
            <w:hideMark/>
          </w:tcPr>
          <w:p w14:paraId="76A5D8E6"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39,51%</w:t>
            </w:r>
          </w:p>
        </w:tc>
        <w:tc>
          <w:tcPr>
            <w:tcW w:w="1287" w:type="dxa"/>
            <w:tcBorders>
              <w:top w:val="nil"/>
              <w:left w:val="single" w:sz="4" w:space="0" w:color="auto"/>
              <w:bottom w:val="nil"/>
              <w:right w:val="single" w:sz="8" w:space="0" w:color="auto"/>
            </w:tcBorders>
            <w:shd w:val="clear" w:color="auto" w:fill="auto"/>
            <w:noWrap/>
            <w:vAlign w:val="bottom"/>
            <w:hideMark/>
          </w:tcPr>
          <w:p w14:paraId="537EE2B8"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8,93%</w:t>
            </w:r>
          </w:p>
        </w:tc>
      </w:tr>
      <w:tr w:rsidR="00E703B6" w:rsidRPr="007148A6" w14:paraId="216E14D1" w14:textId="77777777" w:rsidTr="00CD45D8">
        <w:trPr>
          <w:trHeight w:val="284"/>
          <w:jc w:val="center"/>
        </w:trPr>
        <w:tc>
          <w:tcPr>
            <w:tcW w:w="713" w:type="dxa"/>
            <w:tcBorders>
              <w:top w:val="nil"/>
              <w:left w:val="single" w:sz="8" w:space="0" w:color="auto"/>
              <w:bottom w:val="nil"/>
              <w:right w:val="single" w:sz="8" w:space="0" w:color="auto"/>
            </w:tcBorders>
            <w:shd w:val="clear" w:color="auto" w:fill="E7E6E6" w:themeFill="background2"/>
            <w:noWrap/>
            <w:vAlign w:val="bottom"/>
            <w:hideMark/>
          </w:tcPr>
          <w:p w14:paraId="5365ED17" w14:textId="77777777" w:rsidR="00B63623" w:rsidRPr="007148A6" w:rsidRDefault="00B63623" w:rsidP="005E08AA">
            <w:pPr>
              <w:spacing w:after="0" w:line="240" w:lineRule="auto"/>
              <w:jc w:val="right"/>
              <w:rPr>
                <w:rFonts w:ascii="Arial" w:eastAsia="Times New Roman" w:hAnsi="Arial" w:cs="Arial"/>
                <w:b/>
                <w:bCs/>
                <w:color w:val="000000"/>
                <w:lang w:eastAsia="es-AR"/>
              </w:rPr>
            </w:pPr>
            <w:r w:rsidRPr="007148A6">
              <w:rPr>
                <w:rFonts w:ascii="Arial" w:eastAsia="Times New Roman" w:hAnsi="Arial" w:cs="Arial"/>
                <w:b/>
                <w:bCs/>
                <w:color w:val="000000"/>
                <w:lang w:eastAsia="es-AR"/>
              </w:rPr>
              <w:t>1994</w:t>
            </w:r>
          </w:p>
        </w:tc>
        <w:tc>
          <w:tcPr>
            <w:tcW w:w="1173" w:type="dxa"/>
            <w:tcBorders>
              <w:top w:val="nil"/>
              <w:left w:val="nil"/>
              <w:bottom w:val="nil"/>
              <w:right w:val="nil"/>
            </w:tcBorders>
            <w:shd w:val="clear" w:color="auto" w:fill="auto"/>
            <w:noWrap/>
            <w:vAlign w:val="center"/>
            <w:hideMark/>
          </w:tcPr>
          <w:p w14:paraId="08456101"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42.545</w:t>
            </w:r>
          </w:p>
        </w:tc>
        <w:tc>
          <w:tcPr>
            <w:tcW w:w="1260" w:type="dxa"/>
            <w:tcBorders>
              <w:top w:val="nil"/>
              <w:left w:val="single" w:sz="4" w:space="0" w:color="auto"/>
              <w:bottom w:val="nil"/>
              <w:right w:val="single" w:sz="4" w:space="0" w:color="auto"/>
            </w:tcBorders>
            <w:shd w:val="clear" w:color="auto" w:fill="auto"/>
            <w:noWrap/>
            <w:vAlign w:val="center"/>
            <w:hideMark/>
          </w:tcPr>
          <w:p w14:paraId="68A70813"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32.148</w:t>
            </w:r>
          </w:p>
        </w:tc>
        <w:tc>
          <w:tcPr>
            <w:tcW w:w="1260" w:type="dxa"/>
            <w:tcBorders>
              <w:top w:val="nil"/>
              <w:left w:val="nil"/>
              <w:bottom w:val="nil"/>
              <w:right w:val="single" w:sz="4" w:space="0" w:color="auto"/>
            </w:tcBorders>
            <w:shd w:val="clear" w:color="auto" w:fill="auto"/>
            <w:noWrap/>
            <w:vAlign w:val="center"/>
            <w:hideMark/>
          </w:tcPr>
          <w:p w14:paraId="6AEDC141"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7.244</w:t>
            </w:r>
          </w:p>
        </w:tc>
        <w:tc>
          <w:tcPr>
            <w:tcW w:w="1427" w:type="dxa"/>
            <w:tcBorders>
              <w:top w:val="nil"/>
              <w:left w:val="nil"/>
              <w:bottom w:val="nil"/>
              <w:right w:val="nil"/>
            </w:tcBorders>
            <w:shd w:val="clear" w:color="auto" w:fill="auto"/>
            <w:noWrap/>
            <w:vAlign w:val="center"/>
            <w:hideMark/>
          </w:tcPr>
          <w:p w14:paraId="3E1BBA39"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81.938</w:t>
            </w:r>
          </w:p>
        </w:tc>
        <w:tc>
          <w:tcPr>
            <w:tcW w:w="1101" w:type="dxa"/>
            <w:tcBorders>
              <w:top w:val="nil"/>
              <w:left w:val="single" w:sz="4" w:space="0" w:color="auto"/>
              <w:bottom w:val="nil"/>
              <w:right w:val="single" w:sz="4" w:space="0" w:color="auto"/>
            </w:tcBorders>
            <w:shd w:val="clear" w:color="auto" w:fill="auto"/>
            <w:noWrap/>
            <w:vAlign w:val="bottom"/>
            <w:hideMark/>
          </w:tcPr>
          <w:p w14:paraId="48C3EDDB"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51,92%</w:t>
            </w:r>
          </w:p>
        </w:tc>
        <w:tc>
          <w:tcPr>
            <w:tcW w:w="1191" w:type="dxa"/>
            <w:tcBorders>
              <w:top w:val="nil"/>
              <w:left w:val="nil"/>
              <w:bottom w:val="nil"/>
              <w:right w:val="nil"/>
            </w:tcBorders>
            <w:shd w:val="clear" w:color="auto" w:fill="auto"/>
            <w:noWrap/>
            <w:vAlign w:val="bottom"/>
            <w:hideMark/>
          </w:tcPr>
          <w:p w14:paraId="1F88B989"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39,23%</w:t>
            </w:r>
          </w:p>
        </w:tc>
        <w:tc>
          <w:tcPr>
            <w:tcW w:w="1287" w:type="dxa"/>
            <w:tcBorders>
              <w:top w:val="nil"/>
              <w:left w:val="single" w:sz="4" w:space="0" w:color="auto"/>
              <w:bottom w:val="nil"/>
              <w:right w:val="single" w:sz="8" w:space="0" w:color="auto"/>
            </w:tcBorders>
            <w:shd w:val="clear" w:color="auto" w:fill="auto"/>
            <w:noWrap/>
            <w:vAlign w:val="bottom"/>
            <w:hideMark/>
          </w:tcPr>
          <w:p w14:paraId="5B42817A"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8,84%</w:t>
            </w:r>
          </w:p>
        </w:tc>
      </w:tr>
      <w:tr w:rsidR="00E703B6" w:rsidRPr="007148A6" w14:paraId="0A651BD1" w14:textId="77777777" w:rsidTr="00CD45D8">
        <w:trPr>
          <w:trHeight w:val="284"/>
          <w:jc w:val="center"/>
        </w:trPr>
        <w:tc>
          <w:tcPr>
            <w:tcW w:w="713" w:type="dxa"/>
            <w:tcBorders>
              <w:top w:val="nil"/>
              <w:left w:val="single" w:sz="8" w:space="0" w:color="auto"/>
              <w:bottom w:val="nil"/>
              <w:right w:val="single" w:sz="8" w:space="0" w:color="auto"/>
            </w:tcBorders>
            <w:shd w:val="clear" w:color="auto" w:fill="E7E6E6" w:themeFill="background2"/>
            <w:noWrap/>
            <w:vAlign w:val="bottom"/>
            <w:hideMark/>
          </w:tcPr>
          <w:p w14:paraId="17215432" w14:textId="77777777" w:rsidR="00B63623" w:rsidRPr="007148A6" w:rsidRDefault="00B63623" w:rsidP="005E08AA">
            <w:pPr>
              <w:spacing w:after="0" w:line="240" w:lineRule="auto"/>
              <w:jc w:val="right"/>
              <w:rPr>
                <w:rFonts w:ascii="Arial" w:eastAsia="Times New Roman" w:hAnsi="Arial" w:cs="Arial"/>
                <w:b/>
                <w:bCs/>
                <w:color w:val="000000"/>
                <w:lang w:eastAsia="es-AR"/>
              </w:rPr>
            </w:pPr>
            <w:r w:rsidRPr="007148A6">
              <w:rPr>
                <w:rFonts w:ascii="Arial" w:eastAsia="Times New Roman" w:hAnsi="Arial" w:cs="Arial"/>
                <w:b/>
                <w:bCs/>
                <w:color w:val="000000"/>
                <w:lang w:eastAsia="es-AR"/>
              </w:rPr>
              <w:t>1995</w:t>
            </w:r>
          </w:p>
        </w:tc>
        <w:tc>
          <w:tcPr>
            <w:tcW w:w="1173" w:type="dxa"/>
            <w:tcBorders>
              <w:top w:val="nil"/>
              <w:left w:val="nil"/>
              <w:bottom w:val="nil"/>
              <w:right w:val="nil"/>
            </w:tcBorders>
            <w:shd w:val="clear" w:color="auto" w:fill="auto"/>
            <w:noWrap/>
            <w:vAlign w:val="center"/>
            <w:hideMark/>
          </w:tcPr>
          <w:p w14:paraId="74A7B377"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44.059</w:t>
            </w:r>
          </w:p>
        </w:tc>
        <w:tc>
          <w:tcPr>
            <w:tcW w:w="1260" w:type="dxa"/>
            <w:tcBorders>
              <w:top w:val="nil"/>
              <w:left w:val="single" w:sz="4" w:space="0" w:color="auto"/>
              <w:bottom w:val="nil"/>
              <w:right w:val="single" w:sz="4" w:space="0" w:color="auto"/>
            </w:tcBorders>
            <w:shd w:val="clear" w:color="auto" w:fill="auto"/>
            <w:noWrap/>
            <w:vAlign w:val="center"/>
            <w:hideMark/>
          </w:tcPr>
          <w:p w14:paraId="609CCA00"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32.828</w:t>
            </w:r>
          </w:p>
        </w:tc>
        <w:tc>
          <w:tcPr>
            <w:tcW w:w="1260" w:type="dxa"/>
            <w:tcBorders>
              <w:top w:val="nil"/>
              <w:left w:val="nil"/>
              <w:bottom w:val="nil"/>
              <w:right w:val="single" w:sz="4" w:space="0" w:color="auto"/>
            </w:tcBorders>
            <w:shd w:val="clear" w:color="auto" w:fill="auto"/>
            <w:noWrap/>
            <w:vAlign w:val="center"/>
            <w:hideMark/>
          </w:tcPr>
          <w:p w14:paraId="79FE3FE2"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6.830</w:t>
            </w:r>
          </w:p>
        </w:tc>
        <w:tc>
          <w:tcPr>
            <w:tcW w:w="1427" w:type="dxa"/>
            <w:tcBorders>
              <w:top w:val="nil"/>
              <w:left w:val="nil"/>
              <w:bottom w:val="nil"/>
              <w:right w:val="nil"/>
            </w:tcBorders>
            <w:shd w:val="clear" w:color="auto" w:fill="auto"/>
            <w:noWrap/>
            <w:vAlign w:val="center"/>
            <w:hideMark/>
          </w:tcPr>
          <w:p w14:paraId="29E5B1CC"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83.717</w:t>
            </w:r>
          </w:p>
        </w:tc>
        <w:tc>
          <w:tcPr>
            <w:tcW w:w="1101" w:type="dxa"/>
            <w:tcBorders>
              <w:top w:val="nil"/>
              <w:left w:val="single" w:sz="4" w:space="0" w:color="auto"/>
              <w:bottom w:val="nil"/>
              <w:right w:val="single" w:sz="4" w:space="0" w:color="auto"/>
            </w:tcBorders>
            <w:shd w:val="clear" w:color="auto" w:fill="auto"/>
            <w:noWrap/>
            <w:vAlign w:val="bottom"/>
            <w:hideMark/>
          </w:tcPr>
          <w:p w14:paraId="6BE299C7"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52,63%</w:t>
            </w:r>
          </w:p>
        </w:tc>
        <w:tc>
          <w:tcPr>
            <w:tcW w:w="1191" w:type="dxa"/>
            <w:tcBorders>
              <w:top w:val="nil"/>
              <w:left w:val="nil"/>
              <w:bottom w:val="nil"/>
              <w:right w:val="nil"/>
            </w:tcBorders>
            <w:shd w:val="clear" w:color="auto" w:fill="auto"/>
            <w:noWrap/>
            <w:vAlign w:val="bottom"/>
            <w:hideMark/>
          </w:tcPr>
          <w:p w14:paraId="6F3249BF"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39,21%</w:t>
            </w:r>
          </w:p>
        </w:tc>
        <w:tc>
          <w:tcPr>
            <w:tcW w:w="1287" w:type="dxa"/>
            <w:tcBorders>
              <w:top w:val="nil"/>
              <w:left w:val="single" w:sz="4" w:space="0" w:color="auto"/>
              <w:bottom w:val="nil"/>
              <w:right w:val="single" w:sz="8" w:space="0" w:color="auto"/>
            </w:tcBorders>
            <w:shd w:val="clear" w:color="auto" w:fill="auto"/>
            <w:noWrap/>
            <w:vAlign w:val="bottom"/>
            <w:hideMark/>
          </w:tcPr>
          <w:p w14:paraId="7744184C"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8,16%</w:t>
            </w:r>
          </w:p>
        </w:tc>
      </w:tr>
      <w:tr w:rsidR="00E703B6" w:rsidRPr="007148A6" w14:paraId="76F9FBD5" w14:textId="77777777" w:rsidTr="00CD45D8">
        <w:trPr>
          <w:trHeight w:val="284"/>
          <w:jc w:val="center"/>
        </w:trPr>
        <w:tc>
          <w:tcPr>
            <w:tcW w:w="713" w:type="dxa"/>
            <w:tcBorders>
              <w:top w:val="nil"/>
              <w:left w:val="single" w:sz="8" w:space="0" w:color="auto"/>
              <w:bottom w:val="nil"/>
              <w:right w:val="single" w:sz="8" w:space="0" w:color="auto"/>
            </w:tcBorders>
            <w:shd w:val="clear" w:color="auto" w:fill="E7E6E6" w:themeFill="background2"/>
            <w:noWrap/>
            <w:vAlign w:val="bottom"/>
            <w:hideMark/>
          </w:tcPr>
          <w:p w14:paraId="63E8CC4F" w14:textId="77777777" w:rsidR="00B63623" w:rsidRPr="007148A6" w:rsidRDefault="00B63623" w:rsidP="005E08AA">
            <w:pPr>
              <w:spacing w:after="0" w:line="240" w:lineRule="auto"/>
              <w:jc w:val="right"/>
              <w:rPr>
                <w:rFonts w:ascii="Arial" w:eastAsia="Times New Roman" w:hAnsi="Arial" w:cs="Arial"/>
                <w:b/>
                <w:bCs/>
                <w:color w:val="000000"/>
                <w:lang w:eastAsia="es-AR"/>
              </w:rPr>
            </w:pPr>
            <w:r w:rsidRPr="007148A6">
              <w:rPr>
                <w:rFonts w:ascii="Arial" w:eastAsia="Times New Roman" w:hAnsi="Arial" w:cs="Arial"/>
                <w:b/>
                <w:bCs/>
                <w:color w:val="000000"/>
                <w:lang w:eastAsia="es-AR"/>
              </w:rPr>
              <w:t>1996</w:t>
            </w:r>
          </w:p>
        </w:tc>
        <w:tc>
          <w:tcPr>
            <w:tcW w:w="1173" w:type="dxa"/>
            <w:tcBorders>
              <w:top w:val="nil"/>
              <w:left w:val="nil"/>
              <w:bottom w:val="nil"/>
              <w:right w:val="nil"/>
            </w:tcBorders>
            <w:shd w:val="clear" w:color="auto" w:fill="auto"/>
            <w:noWrap/>
            <w:vAlign w:val="center"/>
            <w:hideMark/>
          </w:tcPr>
          <w:p w14:paraId="74F2D30E"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43.997</w:t>
            </w:r>
          </w:p>
        </w:tc>
        <w:tc>
          <w:tcPr>
            <w:tcW w:w="1260" w:type="dxa"/>
            <w:tcBorders>
              <w:top w:val="nil"/>
              <w:left w:val="single" w:sz="4" w:space="0" w:color="auto"/>
              <w:bottom w:val="nil"/>
              <w:right w:val="single" w:sz="4" w:space="0" w:color="auto"/>
            </w:tcBorders>
            <w:shd w:val="clear" w:color="auto" w:fill="auto"/>
            <w:noWrap/>
            <w:vAlign w:val="center"/>
            <w:hideMark/>
          </w:tcPr>
          <w:p w14:paraId="2297B08E"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32.397</w:t>
            </w:r>
          </w:p>
        </w:tc>
        <w:tc>
          <w:tcPr>
            <w:tcW w:w="1260" w:type="dxa"/>
            <w:tcBorders>
              <w:top w:val="nil"/>
              <w:left w:val="nil"/>
              <w:bottom w:val="nil"/>
              <w:right w:val="single" w:sz="4" w:space="0" w:color="auto"/>
            </w:tcBorders>
            <w:shd w:val="clear" w:color="auto" w:fill="auto"/>
            <w:noWrap/>
            <w:vAlign w:val="center"/>
            <w:hideMark/>
          </w:tcPr>
          <w:p w14:paraId="305D03CA"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6.733</w:t>
            </w:r>
          </w:p>
        </w:tc>
        <w:tc>
          <w:tcPr>
            <w:tcW w:w="1427" w:type="dxa"/>
            <w:tcBorders>
              <w:top w:val="nil"/>
              <w:left w:val="nil"/>
              <w:bottom w:val="nil"/>
              <w:right w:val="nil"/>
            </w:tcBorders>
            <w:shd w:val="clear" w:color="auto" w:fill="auto"/>
            <w:noWrap/>
            <w:vAlign w:val="center"/>
            <w:hideMark/>
          </w:tcPr>
          <w:p w14:paraId="7B672BCE"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83.128</w:t>
            </w:r>
          </w:p>
        </w:tc>
        <w:tc>
          <w:tcPr>
            <w:tcW w:w="1101" w:type="dxa"/>
            <w:tcBorders>
              <w:top w:val="nil"/>
              <w:left w:val="single" w:sz="4" w:space="0" w:color="auto"/>
              <w:bottom w:val="nil"/>
              <w:right w:val="single" w:sz="4" w:space="0" w:color="auto"/>
            </w:tcBorders>
            <w:shd w:val="clear" w:color="auto" w:fill="auto"/>
            <w:noWrap/>
            <w:vAlign w:val="bottom"/>
            <w:hideMark/>
          </w:tcPr>
          <w:p w14:paraId="40086C5B"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52,93%</w:t>
            </w:r>
          </w:p>
        </w:tc>
        <w:tc>
          <w:tcPr>
            <w:tcW w:w="1191" w:type="dxa"/>
            <w:tcBorders>
              <w:top w:val="nil"/>
              <w:left w:val="nil"/>
              <w:bottom w:val="nil"/>
              <w:right w:val="nil"/>
            </w:tcBorders>
            <w:shd w:val="clear" w:color="auto" w:fill="auto"/>
            <w:noWrap/>
            <w:vAlign w:val="bottom"/>
            <w:hideMark/>
          </w:tcPr>
          <w:p w14:paraId="1E31B5E7"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38,97%</w:t>
            </w:r>
          </w:p>
        </w:tc>
        <w:tc>
          <w:tcPr>
            <w:tcW w:w="1287" w:type="dxa"/>
            <w:tcBorders>
              <w:top w:val="nil"/>
              <w:left w:val="single" w:sz="4" w:space="0" w:color="auto"/>
              <w:bottom w:val="nil"/>
              <w:right w:val="single" w:sz="8" w:space="0" w:color="auto"/>
            </w:tcBorders>
            <w:shd w:val="clear" w:color="auto" w:fill="auto"/>
            <w:noWrap/>
            <w:vAlign w:val="bottom"/>
            <w:hideMark/>
          </w:tcPr>
          <w:p w14:paraId="741C2666"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8,10%</w:t>
            </w:r>
          </w:p>
        </w:tc>
      </w:tr>
      <w:tr w:rsidR="00E703B6" w:rsidRPr="007148A6" w14:paraId="01A3DCC8" w14:textId="77777777" w:rsidTr="00CD45D8">
        <w:trPr>
          <w:trHeight w:val="284"/>
          <w:jc w:val="center"/>
        </w:trPr>
        <w:tc>
          <w:tcPr>
            <w:tcW w:w="713" w:type="dxa"/>
            <w:tcBorders>
              <w:top w:val="nil"/>
              <w:left w:val="single" w:sz="8" w:space="0" w:color="auto"/>
              <w:bottom w:val="nil"/>
              <w:right w:val="single" w:sz="8" w:space="0" w:color="auto"/>
            </w:tcBorders>
            <w:shd w:val="clear" w:color="auto" w:fill="E7E6E6" w:themeFill="background2"/>
            <w:noWrap/>
            <w:vAlign w:val="bottom"/>
            <w:hideMark/>
          </w:tcPr>
          <w:p w14:paraId="6F3F000E" w14:textId="77777777" w:rsidR="00B63623" w:rsidRPr="007148A6" w:rsidRDefault="00B63623" w:rsidP="005E08AA">
            <w:pPr>
              <w:spacing w:after="0" w:line="240" w:lineRule="auto"/>
              <w:jc w:val="right"/>
              <w:rPr>
                <w:rFonts w:ascii="Arial" w:eastAsia="Times New Roman" w:hAnsi="Arial" w:cs="Arial"/>
                <w:b/>
                <w:bCs/>
                <w:color w:val="000000"/>
                <w:lang w:eastAsia="es-AR"/>
              </w:rPr>
            </w:pPr>
            <w:r w:rsidRPr="007148A6">
              <w:rPr>
                <w:rFonts w:ascii="Arial" w:eastAsia="Times New Roman" w:hAnsi="Arial" w:cs="Arial"/>
                <w:b/>
                <w:bCs/>
                <w:color w:val="000000"/>
                <w:lang w:eastAsia="es-AR"/>
              </w:rPr>
              <w:t>1997</w:t>
            </w:r>
          </w:p>
        </w:tc>
        <w:tc>
          <w:tcPr>
            <w:tcW w:w="1173" w:type="dxa"/>
            <w:tcBorders>
              <w:top w:val="nil"/>
              <w:left w:val="nil"/>
              <w:bottom w:val="nil"/>
              <w:right w:val="nil"/>
            </w:tcBorders>
            <w:shd w:val="clear" w:color="auto" w:fill="auto"/>
            <w:noWrap/>
            <w:vAlign w:val="center"/>
            <w:hideMark/>
          </w:tcPr>
          <w:p w14:paraId="5EF205A8"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46.753</w:t>
            </w:r>
          </w:p>
        </w:tc>
        <w:tc>
          <w:tcPr>
            <w:tcW w:w="1260" w:type="dxa"/>
            <w:tcBorders>
              <w:top w:val="nil"/>
              <w:left w:val="single" w:sz="4" w:space="0" w:color="auto"/>
              <w:bottom w:val="nil"/>
              <w:right w:val="single" w:sz="4" w:space="0" w:color="auto"/>
            </w:tcBorders>
            <w:shd w:val="clear" w:color="auto" w:fill="auto"/>
            <w:noWrap/>
            <w:vAlign w:val="center"/>
            <w:hideMark/>
          </w:tcPr>
          <w:p w14:paraId="05CFDF84"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34.703</w:t>
            </w:r>
          </w:p>
        </w:tc>
        <w:tc>
          <w:tcPr>
            <w:tcW w:w="1260" w:type="dxa"/>
            <w:tcBorders>
              <w:top w:val="nil"/>
              <w:left w:val="nil"/>
              <w:bottom w:val="nil"/>
              <w:right w:val="single" w:sz="4" w:space="0" w:color="auto"/>
            </w:tcBorders>
            <w:shd w:val="clear" w:color="auto" w:fill="auto"/>
            <w:noWrap/>
            <w:vAlign w:val="center"/>
            <w:hideMark/>
          </w:tcPr>
          <w:p w14:paraId="12BE8A7F"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7.446</w:t>
            </w:r>
          </w:p>
        </w:tc>
        <w:tc>
          <w:tcPr>
            <w:tcW w:w="1427" w:type="dxa"/>
            <w:tcBorders>
              <w:top w:val="nil"/>
              <w:left w:val="nil"/>
              <w:bottom w:val="nil"/>
              <w:right w:val="nil"/>
            </w:tcBorders>
            <w:shd w:val="clear" w:color="auto" w:fill="auto"/>
            <w:noWrap/>
            <w:vAlign w:val="center"/>
            <w:hideMark/>
          </w:tcPr>
          <w:p w14:paraId="32D3DED0"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88.902</w:t>
            </w:r>
          </w:p>
        </w:tc>
        <w:tc>
          <w:tcPr>
            <w:tcW w:w="1101" w:type="dxa"/>
            <w:tcBorders>
              <w:top w:val="nil"/>
              <w:left w:val="single" w:sz="4" w:space="0" w:color="auto"/>
              <w:bottom w:val="nil"/>
              <w:right w:val="single" w:sz="4" w:space="0" w:color="auto"/>
            </w:tcBorders>
            <w:shd w:val="clear" w:color="auto" w:fill="auto"/>
            <w:noWrap/>
            <w:vAlign w:val="bottom"/>
            <w:hideMark/>
          </w:tcPr>
          <w:p w14:paraId="05179FA4"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52,59%</w:t>
            </w:r>
          </w:p>
        </w:tc>
        <w:tc>
          <w:tcPr>
            <w:tcW w:w="1191" w:type="dxa"/>
            <w:tcBorders>
              <w:top w:val="nil"/>
              <w:left w:val="nil"/>
              <w:bottom w:val="nil"/>
              <w:right w:val="nil"/>
            </w:tcBorders>
            <w:shd w:val="clear" w:color="auto" w:fill="auto"/>
            <w:noWrap/>
            <w:vAlign w:val="bottom"/>
            <w:hideMark/>
          </w:tcPr>
          <w:p w14:paraId="76541464"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39,03%</w:t>
            </w:r>
          </w:p>
        </w:tc>
        <w:tc>
          <w:tcPr>
            <w:tcW w:w="1287" w:type="dxa"/>
            <w:tcBorders>
              <w:top w:val="nil"/>
              <w:left w:val="single" w:sz="4" w:space="0" w:color="auto"/>
              <w:bottom w:val="nil"/>
              <w:right w:val="single" w:sz="8" w:space="0" w:color="auto"/>
            </w:tcBorders>
            <w:shd w:val="clear" w:color="auto" w:fill="auto"/>
            <w:noWrap/>
            <w:vAlign w:val="bottom"/>
            <w:hideMark/>
          </w:tcPr>
          <w:p w14:paraId="129F3AEA"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8,38%</w:t>
            </w:r>
          </w:p>
        </w:tc>
      </w:tr>
      <w:tr w:rsidR="00E703B6" w:rsidRPr="007148A6" w14:paraId="02CAA7C5" w14:textId="77777777" w:rsidTr="00CD45D8">
        <w:trPr>
          <w:trHeight w:val="284"/>
          <w:jc w:val="center"/>
        </w:trPr>
        <w:tc>
          <w:tcPr>
            <w:tcW w:w="713" w:type="dxa"/>
            <w:tcBorders>
              <w:top w:val="nil"/>
              <w:left w:val="single" w:sz="8" w:space="0" w:color="auto"/>
              <w:bottom w:val="nil"/>
              <w:right w:val="single" w:sz="8" w:space="0" w:color="auto"/>
            </w:tcBorders>
            <w:shd w:val="clear" w:color="auto" w:fill="E7E6E6" w:themeFill="background2"/>
            <w:noWrap/>
            <w:vAlign w:val="bottom"/>
            <w:hideMark/>
          </w:tcPr>
          <w:p w14:paraId="065999DC" w14:textId="77777777" w:rsidR="00B63623" w:rsidRPr="007148A6" w:rsidRDefault="00B63623" w:rsidP="005E08AA">
            <w:pPr>
              <w:spacing w:after="0" w:line="240" w:lineRule="auto"/>
              <w:jc w:val="right"/>
              <w:rPr>
                <w:rFonts w:ascii="Arial" w:eastAsia="Times New Roman" w:hAnsi="Arial" w:cs="Arial"/>
                <w:b/>
                <w:bCs/>
                <w:color w:val="000000"/>
                <w:lang w:eastAsia="es-AR"/>
              </w:rPr>
            </w:pPr>
            <w:r w:rsidRPr="007148A6">
              <w:rPr>
                <w:rFonts w:ascii="Arial" w:eastAsia="Times New Roman" w:hAnsi="Arial" w:cs="Arial"/>
                <w:b/>
                <w:bCs/>
                <w:color w:val="000000"/>
                <w:lang w:eastAsia="es-AR"/>
              </w:rPr>
              <w:t>1998</w:t>
            </w:r>
          </w:p>
        </w:tc>
        <w:tc>
          <w:tcPr>
            <w:tcW w:w="1173" w:type="dxa"/>
            <w:tcBorders>
              <w:top w:val="nil"/>
              <w:left w:val="nil"/>
              <w:bottom w:val="nil"/>
              <w:right w:val="nil"/>
            </w:tcBorders>
            <w:shd w:val="clear" w:color="auto" w:fill="auto"/>
            <w:noWrap/>
            <w:vAlign w:val="center"/>
            <w:hideMark/>
          </w:tcPr>
          <w:p w14:paraId="36703F0D"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47.321</w:t>
            </w:r>
          </w:p>
        </w:tc>
        <w:tc>
          <w:tcPr>
            <w:tcW w:w="1260" w:type="dxa"/>
            <w:tcBorders>
              <w:top w:val="nil"/>
              <w:left w:val="single" w:sz="4" w:space="0" w:color="auto"/>
              <w:bottom w:val="nil"/>
              <w:right w:val="single" w:sz="4" w:space="0" w:color="auto"/>
            </w:tcBorders>
            <w:shd w:val="clear" w:color="auto" w:fill="auto"/>
            <w:noWrap/>
            <w:vAlign w:val="center"/>
            <w:hideMark/>
          </w:tcPr>
          <w:p w14:paraId="0B2FA88E"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37.119</w:t>
            </w:r>
          </w:p>
        </w:tc>
        <w:tc>
          <w:tcPr>
            <w:tcW w:w="1260" w:type="dxa"/>
            <w:tcBorders>
              <w:top w:val="nil"/>
              <w:left w:val="nil"/>
              <w:bottom w:val="nil"/>
              <w:right w:val="single" w:sz="4" w:space="0" w:color="auto"/>
            </w:tcBorders>
            <w:shd w:val="clear" w:color="auto" w:fill="auto"/>
            <w:noWrap/>
            <w:vAlign w:val="center"/>
            <w:hideMark/>
          </w:tcPr>
          <w:p w14:paraId="3E62071C"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8.114</w:t>
            </w:r>
          </w:p>
        </w:tc>
        <w:tc>
          <w:tcPr>
            <w:tcW w:w="1427" w:type="dxa"/>
            <w:tcBorders>
              <w:top w:val="nil"/>
              <w:left w:val="nil"/>
              <w:bottom w:val="nil"/>
              <w:right w:val="nil"/>
            </w:tcBorders>
            <w:shd w:val="clear" w:color="auto" w:fill="auto"/>
            <w:noWrap/>
            <w:vAlign w:val="center"/>
            <w:hideMark/>
          </w:tcPr>
          <w:p w14:paraId="51B78780"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92.554</w:t>
            </w:r>
          </w:p>
        </w:tc>
        <w:tc>
          <w:tcPr>
            <w:tcW w:w="1101" w:type="dxa"/>
            <w:tcBorders>
              <w:top w:val="nil"/>
              <w:left w:val="single" w:sz="4" w:space="0" w:color="auto"/>
              <w:bottom w:val="nil"/>
              <w:right w:val="single" w:sz="4" w:space="0" w:color="auto"/>
            </w:tcBorders>
            <w:shd w:val="clear" w:color="auto" w:fill="auto"/>
            <w:noWrap/>
            <w:vAlign w:val="bottom"/>
            <w:hideMark/>
          </w:tcPr>
          <w:p w14:paraId="08D61A89"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51,13%</w:t>
            </w:r>
          </w:p>
        </w:tc>
        <w:tc>
          <w:tcPr>
            <w:tcW w:w="1191" w:type="dxa"/>
            <w:tcBorders>
              <w:top w:val="nil"/>
              <w:left w:val="nil"/>
              <w:bottom w:val="nil"/>
              <w:right w:val="nil"/>
            </w:tcBorders>
            <w:shd w:val="clear" w:color="auto" w:fill="auto"/>
            <w:noWrap/>
            <w:vAlign w:val="bottom"/>
            <w:hideMark/>
          </w:tcPr>
          <w:p w14:paraId="18C4B5DD"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40,11%</w:t>
            </w:r>
          </w:p>
        </w:tc>
        <w:tc>
          <w:tcPr>
            <w:tcW w:w="1287" w:type="dxa"/>
            <w:tcBorders>
              <w:top w:val="nil"/>
              <w:left w:val="single" w:sz="4" w:space="0" w:color="auto"/>
              <w:bottom w:val="nil"/>
              <w:right w:val="single" w:sz="8" w:space="0" w:color="auto"/>
            </w:tcBorders>
            <w:shd w:val="clear" w:color="auto" w:fill="auto"/>
            <w:noWrap/>
            <w:vAlign w:val="bottom"/>
            <w:hideMark/>
          </w:tcPr>
          <w:p w14:paraId="4D81ACB0"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8,77%</w:t>
            </w:r>
          </w:p>
        </w:tc>
      </w:tr>
      <w:tr w:rsidR="00E703B6" w:rsidRPr="007148A6" w14:paraId="3BC44062" w14:textId="77777777" w:rsidTr="00CD45D8">
        <w:trPr>
          <w:trHeight w:val="284"/>
          <w:jc w:val="center"/>
        </w:trPr>
        <w:tc>
          <w:tcPr>
            <w:tcW w:w="713" w:type="dxa"/>
            <w:tcBorders>
              <w:top w:val="nil"/>
              <w:left w:val="single" w:sz="8" w:space="0" w:color="auto"/>
              <w:bottom w:val="nil"/>
              <w:right w:val="single" w:sz="8" w:space="0" w:color="auto"/>
            </w:tcBorders>
            <w:shd w:val="clear" w:color="auto" w:fill="E7E6E6" w:themeFill="background2"/>
            <w:noWrap/>
            <w:vAlign w:val="bottom"/>
            <w:hideMark/>
          </w:tcPr>
          <w:p w14:paraId="3392DD26" w14:textId="77777777" w:rsidR="00B63623" w:rsidRPr="007148A6" w:rsidRDefault="00B63623" w:rsidP="005E08AA">
            <w:pPr>
              <w:spacing w:after="0" w:line="240" w:lineRule="auto"/>
              <w:jc w:val="right"/>
              <w:rPr>
                <w:rFonts w:ascii="Arial" w:eastAsia="Times New Roman" w:hAnsi="Arial" w:cs="Arial"/>
                <w:b/>
                <w:bCs/>
                <w:color w:val="000000"/>
                <w:lang w:eastAsia="es-AR"/>
              </w:rPr>
            </w:pPr>
            <w:r w:rsidRPr="007148A6">
              <w:rPr>
                <w:rFonts w:ascii="Arial" w:eastAsia="Times New Roman" w:hAnsi="Arial" w:cs="Arial"/>
                <w:b/>
                <w:bCs/>
                <w:color w:val="000000"/>
                <w:lang w:eastAsia="es-AR"/>
              </w:rPr>
              <w:t>1999</w:t>
            </w:r>
          </w:p>
        </w:tc>
        <w:tc>
          <w:tcPr>
            <w:tcW w:w="1173" w:type="dxa"/>
            <w:tcBorders>
              <w:top w:val="nil"/>
              <w:left w:val="nil"/>
              <w:bottom w:val="nil"/>
              <w:right w:val="nil"/>
            </w:tcBorders>
            <w:shd w:val="clear" w:color="auto" w:fill="auto"/>
            <w:noWrap/>
            <w:vAlign w:val="center"/>
            <w:hideMark/>
          </w:tcPr>
          <w:p w14:paraId="243AD792"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49.870</w:t>
            </w:r>
          </w:p>
        </w:tc>
        <w:tc>
          <w:tcPr>
            <w:tcW w:w="1260" w:type="dxa"/>
            <w:tcBorders>
              <w:top w:val="nil"/>
              <w:left w:val="single" w:sz="4" w:space="0" w:color="auto"/>
              <w:bottom w:val="nil"/>
              <w:right w:val="single" w:sz="4" w:space="0" w:color="auto"/>
            </w:tcBorders>
            <w:shd w:val="clear" w:color="auto" w:fill="auto"/>
            <w:noWrap/>
            <w:vAlign w:val="center"/>
            <w:hideMark/>
          </w:tcPr>
          <w:p w14:paraId="006CC194"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38.860</w:t>
            </w:r>
          </w:p>
        </w:tc>
        <w:tc>
          <w:tcPr>
            <w:tcW w:w="1260" w:type="dxa"/>
            <w:tcBorders>
              <w:top w:val="nil"/>
              <w:left w:val="nil"/>
              <w:bottom w:val="nil"/>
              <w:right w:val="single" w:sz="4" w:space="0" w:color="auto"/>
            </w:tcBorders>
            <w:shd w:val="clear" w:color="auto" w:fill="auto"/>
            <w:noWrap/>
            <w:vAlign w:val="center"/>
            <w:hideMark/>
          </w:tcPr>
          <w:p w14:paraId="674AED75"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8.328</w:t>
            </w:r>
          </w:p>
        </w:tc>
        <w:tc>
          <w:tcPr>
            <w:tcW w:w="1427" w:type="dxa"/>
            <w:tcBorders>
              <w:top w:val="nil"/>
              <w:left w:val="nil"/>
              <w:bottom w:val="nil"/>
              <w:right w:val="nil"/>
            </w:tcBorders>
            <w:shd w:val="clear" w:color="auto" w:fill="auto"/>
            <w:noWrap/>
            <w:vAlign w:val="center"/>
            <w:hideMark/>
          </w:tcPr>
          <w:p w14:paraId="40847F2A"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97.058</w:t>
            </w:r>
          </w:p>
        </w:tc>
        <w:tc>
          <w:tcPr>
            <w:tcW w:w="1101" w:type="dxa"/>
            <w:tcBorders>
              <w:top w:val="nil"/>
              <w:left w:val="single" w:sz="4" w:space="0" w:color="auto"/>
              <w:bottom w:val="nil"/>
              <w:right w:val="single" w:sz="4" w:space="0" w:color="auto"/>
            </w:tcBorders>
            <w:shd w:val="clear" w:color="auto" w:fill="auto"/>
            <w:noWrap/>
            <w:vAlign w:val="bottom"/>
            <w:hideMark/>
          </w:tcPr>
          <w:p w14:paraId="360F5583"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51,38%</w:t>
            </w:r>
          </w:p>
        </w:tc>
        <w:tc>
          <w:tcPr>
            <w:tcW w:w="1191" w:type="dxa"/>
            <w:tcBorders>
              <w:top w:val="nil"/>
              <w:left w:val="nil"/>
              <w:bottom w:val="nil"/>
              <w:right w:val="nil"/>
            </w:tcBorders>
            <w:shd w:val="clear" w:color="auto" w:fill="auto"/>
            <w:noWrap/>
            <w:vAlign w:val="bottom"/>
            <w:hideMark/>
          </w:tcPr>
          <w:p w14:paraId="0550419C"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40,04%</w:t>
            </w:r>
          </w:p>
        </w:tc>
        <w:tc>
          <w:tcPr>
            <w:tcW w:w="1287" w:type="dxa"/>
            <w:tcBorders>
              <w:top w:val="nil"/>
              <w:left w:val="single" w:sz="4" w:space="0" w:color="auto"/>
              <w:bottom w:val="nil"/>
              <w:right w:val="single" w:sz="8" w:space="0" w:color="auto"/>
            </w:tcBorders>
            <w:shd w:val="clear" w:color="auto" w:fill="auto"/>
            <w:noWrap/>
            <w:vAlign w:val="bottom"/>
            <w:hideMark/>
          </w:tcPr>
          <w:p w14:paraId="72F1A7EE"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8,58%</w:t>
            </w:r>
          </w:p>
        </w:tc>
      </w:tr>
      <w:tr w:rsidR="00E703B6" w:rsidRPr="007148A6" w14:paraId="7E56A7C5" w14:textId="77777777" w:rsidTr="00CD45D8">
        <w:trPr>
          <w:trHeight w:val="284"/>
          <w:jc w:val="center"/>
        </w:trPr>
        <w:tc>
          <w:tcPr>
            <w:tcW w:w="713" w:type="dxa"/>
            <w:tcBorders>
              <w:top w:val="nil"/>
              <w:left w:val="single" w:sz="8" w:space="0" w:color="auto"/>
              <w:bottom w:val="nil"/>
              <w:right w:val="single" w:sz="8" w:space="0" w:color="auto"/>
            </w:tcBorders>
            <w:shd w:val="clear" w:color="auto" w:fill="E7E6E6" w:themeFill="background2"/>
            <w:noWrap/>
            <w:vAlign w:val="bottom"/>
            <w:hideMark/>
          </w:tcPr>
          <w:p w14:paraId="72E6D13B" w14:textId="77777777" w:rsidR="00B63623" w:rsidRPr="007148A6" w:rsidRDefault="00B63623" w:rsidP="005E08AA">
            <w:pPr>
              <w:spacing w:after="0" w:line="240" w:lineRule="auto"/>
              <w:jc w:val="right"/>
              <w:rPr>
                <w:rFonts w:ascii="Arial" w:eastAsia="Times New Roman" w:hAnsi="Arial" w:cs="Arial"/>
                <w:b/>
                <w:bCs/>
                <w:color w:val="000000"/>
                <w:lang w:eastAsia="es-AR"/>
              </w:rPr>
            </w:pPr>
            <w:r w:rsidRPr="007148A6">
              <w:rPr>
                <w:rFonts w:ascii="Arial" w:eastAsia="Times New Roman" w:hAnsi="Arial" w:cs="Arial"/>
                <w:b/>
                <w:bCs/>
                <w:color w:val="000000"/>
                <w:lang w:eastAsia="es-AR"/>
              </w:rPr>
              <w:t>2000</w:t>
            </w:r>
          </w:p>
        </w:tc>
        <w:tc>
          <w:tcPr>
            <w:tcW w:w="1173" w:type="dxa"/>
            <w:tcBorders>
              <w:top w:val="nil"/>
              <w:left w:val="nil"/>
              <w:bottom w:val="nil"/>
              <w:right w:val="nil"/>
            </w:tcBorders>
            <w:shd w:val="clear" w:color="auto" w:fill="auto"/>
            <w:noWrap/>
            <w:vAlign w:val="center"/>
            <w:hideMark/>
          </w:tcPr>
          <w:p w14:paraId="1BF5B846"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49.587</w:t>
            </w:r>
          </w:p>
        </w:tc>
        <w:tc>
          <w:tcPr>
            <w:tcW w:w="1260" w:type="dxa"/>
            <w:tcBorders>
              <w:top w:val="nil"/>
              <w:left w:val="single" w:sz="4" w:space="0" w:color="auto"/>
              <w:bottom w:val="nil"/>
              <w:right w:val="single" w:sz="4" w:space="0" w:color="auto"/>
            </w:tcBorders>
            <w:shd w:val="clear" w:color="auto" w:fill="auto"/>
            <w:noWrap/>
            <w:vAlign w:val="center"/>
            <w:hideMark/>
          </w:tcPr>
          <w:p w14:paraId="3CAB2860"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38.477</w:t>
            </w:r>
          </w:p>
        </w:tc>
        <w:tc>
          <w:tcPr>
            <w:tcW w:w="1260" w:type="dxa"/>
            <w:tcBorders>
              <w:top w:val="nil"/>
              <w:left w:val="nil"/>
              <w:bottom w:val="nil"/>
              <w:right w:val="single" w:sz="4" w:space="0" w:color="auto"/>
            </w:tcBorders>
            <w:shd w:val="clear" w:color="auto" w:fill="auto"/>
            <w:noWrap/>
            <w:vAlign w:val="center"/>
            <w:hideMark/>
          </w:tcPr>
          <w:p w14:paraId="0D38C7A4"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8.079</w:t>
            </w:r>
          </w:p>
        </w:tc>
        <w:tc>
          <w:tcPr>
            <w:tcW w:w="1427" w:type="dxa"/>
            <w:tcBorders>
              <w:top w:val="nil"/>
              <w:left w:val="nil"/>
              <w:bottom w:val="nil"/>
              <w:right w:val="nil"/>
            </w:tcBorders>
            <w:shd w:val="clear" w:color="auto" w:fill="auto"/>
            <w:noWrap/>
            <w:vAlign w:val="center"/>
            <w:hideMark/>
          </w:tcPr>
          <w:p w14:paraId="564F8D1C"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96.143</w:t>
            </w:r>
          </w:p>
        </w:tc>
        <w:tc>
          <w:tcPr>
            <w:tcW w:w="1101" w:type="dxa"/>
            <w:tcBorders>
              <w:top w:val="nil"/>
              <w:left w:val="single" w:sz="4" w:space="0" w:color="auto"/>
              <w:bottom w:val="nil"/>
              <w:right w:val="single" w:sz="4" w:space="0" w:color="auto"/>
            </w:tcBorders>
            <w:shd w:val="clear" w:color="auto" w:fill="auto"/>
            <w:noWrap/>
            <w:vAlign w:val="bottom"/>
            <w:hideMark/>
          </w:tcPr>
          <w:p w14:paraId="44E53D4B"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51,58%</w:t>
            </w:r>
          </w:p>
        </w:tc>
        <w:tc>
          <w:tcPr>
            <w:tcW w:w="1191" w:type="dxa"/>
            <w:tcBorders>
              <w:top w:val="nil"/>
              <w:left w:val="nil"/>
              <w:bottom w:val="nil"/>
              <w:right w:val="nil"/>
            </w:tcBorders>
            <w:shd w:val="clear" w:color="auto" w:fill="auto"/>
            <w:noWrap/>
            <w:vAlign w:val="bottom"/>
            <w:hideMark/>
          </w:tcPr>
          <w:p w14:paraId="296D4315"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40,02%</w:t>
            </w:r>
          </w:p>
        </w:tc>
        <w:tc>
          <w:tcPr>
            <w:tcW w:w="1287" w:type="dxa"/>
            <w:tcBorders>
              <w:top w:val="nil"/>
              <w:left w:val="single" w:sz="4" w:space="0" w:color="auto"/>
              <w:bottom w:val="nil"/>
              <w:right w:val="single" w:sz="8" w:space="0" w:color="auto"/>
            </w:tcBorders>
            <w:shd w:val="clear" w:color="auto" w:fill="auto"/>
            <w:noWrap/>
            <w:vAlign w:val="bottom"/>
            <w:hideMark/>
          </w:tcPr>
          <w:p w14:paraId="5FB3587D"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8,40%</w:t>
            </w:r>
          </w:p>
        </w:tc>
      </w:tr>
      <w:tr w:rsidR="00E703B6" w:rsidRPr="007148A6" w14:paraId="19F00D39" w14:textId="77777777" w:rsidTr="00CD45D8">
        <w:trPr>
          <w:trHeight w:val="284"/>
          <w:jc w:val="center"/>
        </w:trPr>
        <w:tc>
          <w:tcPr>
            <w:tcW w:w="713" w:type="dxa"/>
            <w:tcBorders>
              <w:top w:val="nil"/>
              <w:left w:val="single" w:sz="8" w:space="0" w:color="auto"/>
              <w:bottom w:val="nil"/>
              <w:right w:val="single" w:sz="8" w:space="0" w:color="auto"/>
            </w:tcBorders>
            <w:shd w:val="clear" w:color="auto" w:fill="E7E6E6" w:themeFill="background2"/>
            <w:noWrap/>
            <w:vAlign w:val="bottom"/>
            <w:hideMark/>
          </w:tcPr>
          <w:p w14:paraId="5D6F3424" w14:textId="77777777" w:rsidR="00B63623" w:rsidRPr="007148A6" w:rsidRDefault="00B63623" w:rsidP="005E08AA">
            <w:pPr>
              <w:spacing w:after="0" w:line="240" w:lineRule="auto"/>
              <w:jc w:val="right"/>
              <w:rPr>
                <w:rFonts w:ascii="Arial" w:eastAsia="Times New Roman" w:hAnsi="Arial" w:cs="Arial"/>
                <w:b/>
                <w:bCs/>
                <w:color w:val="000000"/>
                <w:lang w:eastAsia="es-AR"/>
              </w:rPr>
            </w:pPr>
            <w:r w:rsidRPr="007148A6">
              <w:rPr>
                <w:rFonts w:ascii="Arial" w:eastAsia="Times New Roman" w:hAnsi="Arial" w:cs="Arial"/>
                <w:b/>
                <w:bCs/>
                <w:color w:val="000000"/>
                <w:lang w:eastAsia="es-AR"/>
              </w:rPr>
              <w:t>2001</w:t>
            </w:r>
          </w:p>
        </w:tc>
        <w:tc>
          <w:tcPr>
            <w:tcW w:w="1173" w:type="dxa"/>
            <w:tcBorders>
              <w:top w:val="nil"/>
              <w:left w:val="nil"/>
              <w:bottom w:val="nil"/>
              <w:right w:val="nil"/>
            </w:tcBorders>
            <w:shd w:val="clear" w:color="auto" w:fill="auto"/>
            <w:noWrap/>
            <w:vAlign w:val="center"/>
            <w:hideMark/>
          </w:tcPr>
          <w:p w14:paraId="0E30216C"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48.740</w:t>
            </w:r>
          </w:p>
        </w:tc>
        <w:tc>
          <w:tcPr>
            <w:tcW w:w="1260" w:type="dxa"/>
            <w:tcBorders>
              <w:top w:val="nil"/>
              <w:left w:val="single" w:sz="4" w:space="0" w:color="auto"/>
              <w:bottom w:val="nil"/>
              <w:right w:val="single" w:sz="4" w:space="0" w:color="auto"/>
            </w:tcBorders>
            <w:shd w:val="clear" w:color="auto" w:fill="auto"/>
            <w:noWrap/>
            <w:vAlign w:val="center"/>
            <w:hideMark/>
          </w:tcPr>
          <w:p w14:paraId="677EE5A1"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39.068</w:t>
            </w:r>
          </w:p>
        </w:tc>
        <w:tc>
          <w:tcPr>
            <w:tcW w:w="1260" w:type="dxa"/>
            <w:tcBorders>
              <w:top w:val="nil"/>
              <w:left w:val="nil"/>
              <w:bottom w:val="nil"/>
              <w:right w:val="single" w:sz="4" w:space="0" w:color="auto"/>
            </w:tcBorders>
            <w:shd w:val="clear" w:color="auto" w:fill="auto"/>
            <w:noWrap/>
            <w:vAlign w:val="center"/>
            <w:hideMark/>
          </w:tcPr>
          <w:p w14:paraId="0A3C3093"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7.842</w:t>
            </w:r>
          </w:p>
        </w:tc>
        <w:tc>
          <w:tcPr>
            <w:tcW w:w="1427" w:type="dxa"/>
            <w:tcBorders>
              <w:top w:val="nil"/>
              <w:left w:val="nil"/>
              <w:bottom w:val="nil"/>
              <w:right w:val="nil"/>
            </w:tcBorders>
            <w:shd w:val="clear" w:color="auto" w:fill="auto"/>
            <w:noWrap/>
            <w:vAlign w:val="center"/>
            <w:hideMark/>
          </w:tcPr>
          <w:p w14:paraId="42203E23"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95.650</w:t>
            </w:r>
          </w:p>
        </w:tc>
        <w:tc>
          <w:tcPr>
            <w:tcW w:w="1101" w:type="dxa"/>
            <w:tcBorders>
              <w:top w:val="nil"/>
              <w:left w:val="single" w:sz="4" w:space="0" w:color="auto"/>
              <w:bottom w:val="nil"/>
              <w:right w:val="single" w:sz="4" w:space="0" w:color="auto"/>
            </w:tcBorders>
            <w:shd w:val="clear" w:color="auto" w:fill="auto"/>
            <w:noWrap/>
            <w:vAlign w:val="bottom"/>
            <w:hideMark/>
          </w:tcPr>
          <w:p w14:paraId="69FC8A2C"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50,96%</w:t>
            </w:r>
          </w:p>
        </w:tc>
        <w:tc>
          <w:tcPr>
            <w:tcW w:w="1191" w:type="dxa"/>
            <w:tcBorders>
              <w:top w:val="nil"/>
              <w:left w:val="nil"/>
              <w:bottom w:val="nil"/>
              <w:right w:val="nil"/>
            </w:tcBorders>
            <w:shd w:val="clear" w:color="auto" w:fill="auto"/>
            <w:noWrap/>
            <w:vAlign w:val="bottom"/>
            <w:hideMark/>
          </w:tcPr>
          <w:p w14:paraId="184DA270"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40,84%</w:t>
            </w:r>
          </w:p>
        </w:tc>
        <w:tc>
          <w:tcPr>
            <w:tcW w:w="1287" w:type="dxa"/>
            <w:tcBorders>
              <w:top w:val="nil"/>
              <w:left w:val="single" w:sz="4" w:space="0" w:color="auto"/>
              <w:bottom w:val="nil"/>
              <w:right w:val="single" w:sz="8" w:space="0" w:color="auto"/>
            </w:tcBorders>
            <w:shd w:val="clear" w:color="auto" w:fill="auto"/>
            <w:noWrap/>
            <w:vAlign w:val="bottom"/>
            <w:hideMark/>
          </w:tcPr>
          <w:p w14:paraId="755D5E1A"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8,20%</w:t>
            </w:r>
          </w:p>
        </w:tc>
      </w:tr>
      <w:tr w:rsidR="00E703B6" w:rsidRPr="007148A6" w14:paraId="02E85AB8" w14:textId="77777777" w:rsidTr="00CD45D8">
        <w:trPr>
          <w:trHeight w:val="284"/>
          <w:jc w:val="center"/>
        </w:trPr>
        <w:tc>
          <w:tcPr>
            <w:tcW w:w="713" w:type="dxa"/>
            <w:tcBorders>
              <w:top w:val="nil"/>
              <w:left w:val="single" w:sz="8" w:space="0" w:color="auto"/>
              <w:bottom w:val="nil"/>
              <w:right w:val="single" w:sz="8" w:space="0" w:color="auto"/>
            </w:tcBorders>
            <w:shd w:val="clear" w:color="auto" w:fill="E7E6E6" w:themeFill="background2"/>
            <w:noWrap/>
            <w:vAlign w:val="bottom"/>
            <w:hideMark/>
          </w:tcPr>
          <w:p w14:paraId="29380E43" w14:textId="77777777" w:rsidR="00B63623" w:rsidRPr="007148A6" w:rsidRDefault="00B63623" w:rsidP="005E08AA">
            <w:pPr>
              <w:spacing w:after="0" w:line="240" w:lineRule="auto"/>
              <w:jc w:val="right"/>
              <w:rPr>
                <w:rFonts w:ascii="Arial" w:eastAsia="Times New Roman" w:hAnsi="Arial" w:cs="Arial"/>
                <w:b/>
                <w:bCs/>
                <w:color w:val="000000"/>
                <w:lang w:eastAsia="es-AR"/>
              </w:rPr>
            </w:pPr>
            <w:r w:rsidRPr="007148A6">
              <w:rPr>
                <w:rFonts w:ascii="Arial" w:eastAsia="Times New Roman" w:hAnsi="Arial" w:cs="Arial"/>
                <w:b/>
                <w:bCs/>
                <w:color w:val="000000"/>
                <w:lang w:eastAsia="es-AR"/>
              </w:rPr>
              <w:t>2002</w:t>
            </w:r>
          </w:p>
        </w:tc>
        <w:tc>
          <w:tcPr>
            <w:tcW w:w="1173" w:type="dxa"/>
            <w:tcBorders>
              <w:top w:val="nil"/>
              <w:left w:val="nil"/>
              <w:bottom w:val="nil"/>
              <w:right w:val="nil"/>
            </w:tcBorders>
            <w:shd w:val="clear" w:color="auto" w:fill="auto"/>
            <w:noWrap/>
            <w:vAlign w:val="center"/>
            <w:hideMark/>
          </w:tcPr>
          <w:p w14:paraId="6687EFE9"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46.878</w:t>
            </w:r>
          </w:p>
        </w:tc>
        <w:tc>
          <w:tcPr>
            <w:tcW w:w="1260" w:type="dxa"/>
            <w:tcBorders>
              <w:top w:val="nil"/>
              <w:left w:val="single" w:sz="4" w:space="0" w:color="auto"/>
              <w:bottom w:val="nil"/>
              <w:right w:val="single" w:sz="4" w:space="0" w:color="auto"/>
            </w:tcBorders>
            <w:shd w:val="clear" w:color="auto" w:fill="auto"/>
            <w:noWrap/>
            <w:vAlign w:val="center"/>
            <w:hideMark/>
          </w:tcPr>
          <w:p w14:paraId="080BBA1B"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36.687</w:t>
            </w:r>
          </w:p>
        </w:tc>
        <w:tc>
          <w:tcPr>
            <w:tcW w:w="1260" w:type="dxa"/>
            <w:tcBorders>
              <w:top w:val="nil"/>
              <w:left w:val="nil"/>
              <w:bottom w:val="nil"/>
              <w:right w:val="single" w:sz="4" w:space="0" w:color="auto"/>
            </w:tcBorders>
            <w:shd w:val="clear" w:color="auto" w:fill="auto"/>
            <w:noWrap/>
            <w:vAlign w:val="center"/>
            <w:hideMark/>
          </w:tcPr>
          <w:p w14:paraId="44EF45F8"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7.420</w:t>
            </w:r>
          </w:p>
        </w:tc>
        <w:tc>
          <w:tcPr>
            <w:tcW w:w="1427" w:type="dxa"/>
            <w:tcBorders>
              <w:top w:val="nil"/>
              <w:left w:val="nil"/>
              <w:bottom w:val="nil"/>
              <w:right w:val="nil"/>
            </w:tcBorders>
            <w:shd w:val="clear" w:color="auto" w:fill="auto"/>
            <w:noWrap/>
            <w:vAlign w:val="center"/>
            <w:hideMark/>
          </w:tcPr>
          <w:p w14:paraId="2A5C22B9"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90.984</w:t>
            </w:r>
          </w:p>
        </w:tc>
        <w:tc>
          <w:tcPr>
            <w:tcW w:w="1101" w:type="dxa"/>
            <w:tcBorders>
              <w:top w:val="nil"/>
              <w:left w:val="single" w:sz="4" w:space="0" w:color="auto"/>
              <w:bottom w:val="nil"/>
              <w:right w:val="single" w:sz="4" w:space="0" w:color="auto"/>
            </w:tcBorders>
            <w:shd w:val="clear" w:color="auto" w:fill="auto"/>
            <w:noWrap/>
            <w:vAlign w:val="bottom"/>
            <w:hideMark/>
          </w:tcPr>
          <w:p w14:paraId="2BACCEB4"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51,52%</w:t>
            </w:r>
          </w:p>
        </w:tc>
        <w:tc>
          <w:tcPr>
            <w:tcW w:w="1191" w:type="dxa"/>
            <w:tcBorders>
              <w:top w:val="nil"/>
              <w:left w:val="nil"/>
              <w:bottom w:val="nil"/>
              <w:right w:val="nil"/>
            </w:tcBorders>
            <w:shd w:val="clear" w:color="auto" w:fill="auto"/>
            <w:noWrap/>
            <w:vAlign w:val="bottom"/>
            <w:hideMark/>
          </w:tcPr>
          <w:p w14:paraId="1F828B69"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40,32%</w:t>
            </w:r>
          </w:p>
        </w:tc>
        <w:tc>
          <w:tcPr>
            <w:tcW w:w="1287" w:type="dxa"/>
            <w:tcBorders>
              <w:top w:val="nil"/>
              <w:left w:val="single" w:sz="4" w:space="0" w:color="auto"/>
              <w:bottom w:val="nil"/>
              <w:right w:val="single" w:sz="8" w:space="0" w:color="auto"/>
            </w:tcBorders>
            <w:shd w:val="clear" w:color="auto" w:fill="auto"/>
            <w:noWrap/>
            <w:vAlign w:val="bottom"/>
            <w:hideMark/>
          </w:tcPr>
          <w:p w14:paraId="6E2B0193"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8,15%</w:t>
            </w:r>
          </w:p>
        </w:tc>
      </w:tr>
      <w:tr w:rsidR="00E703B6" w:rsidRPr="007148A6" w14:paraId="142662D3" w14:textId="77777777" w:rsidTr="00CD45D8">
        <w:trPr>
          <w:trHeight w:val="284"/>
          <w:jc w:val="center"/>
        </w:trPr>
        <w:tc>
          <w:tcPr>
            <w:tcW w:w="713" w:type="dxa"/>
            <w:tcBorders>
              <w:top w:val="nil"/>
              <w:left w:val="single" w:sz="8" w:space="0" w:color="auto"/>
              <w:bottom w:val="nil"/>
              <w:right w:val="single" w:sz="8" w:space="0" w:color="auto"/>
            </w:tcBorders>
            <w:shd w:val="clear" w:color="auto" w:fill="E7E6E6" w:themeFill="background2"/>
            <w:noWrap/>
            <w:vAlign w:val="bottom"/>
            <w:hideMark/>
          </w:tcPr>
          <w:p w14:paraId="26ECF121" w14:textId="77777777" w:rsidR="00B63623" w:rsidRPr="007148A6" w:rsidRDefault="00B63623" w:rsidP="005E08AA">
            <w:pPr>
              <w:spacing w:after="0" w:line="240" w:lineRule="auto"/>
              <w:jc w:val="right"/>
              <w:rPr>
                <w:rFonts w:ascii="Arial" w:eastAsia="Times New Roman" w:hAnsi="Arial" w:cs="Arial"/>
                <w:b/>
                <w:bCs/>
                <w:color w:val="000000"/>
                <w:lang w:eastAsia="es-AR"/>
              </w:rPr>
            </w:pPr>
            <w:r w:rsidRPr="007148A6">
              <w:rPr>
                <w:rFonts w:ascii="Arial" w:eastAsia="Times New Roman" w:hAnsi="Arial" w:cs="Arial"/>
                <w:b/>
                <w:bCs/>
                <w:color w:val="000000"/>
                <w:lang w:eastAsia="es-AR"/>
              </w:rPr>
              <w:t>2003</w:t>
            </w:r>
          </w:p>
        </w:tc>
        <w:tc>
          <w:tcPr>
            <w:tcW w:w="1173" w:type="dxa"/>
            <w:tcBorders>
              <w:top w:val="nil"/>
              <w:left w:val="nil"/>
              <w:bottom w:val="nil"/>
              <w:right w:val="nil"/>
            </w:tcBorders>
            <w:shd w:val="clear" w:color="auto" w:fill="auto"/>
            <w:noWrap/>
            <w:vAlign w:val="center"/>
            <w:hideMark/>
          </w:tcPr>
          <w:p w14:paraId="6AEB3FE0"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58.302</w:t>
            </w:r>
          </w:p>
        </w:tc>
        <w:tc>
          <w:tcPr>
            <w:tcW w:w="1260" w:type="dxa"/>
            <w:tcBorders>
              <w:top w:val="nil"/>
              <w:left w:val="single" w:sz="4" w:space="0" w:color="auto"/>
              <w:bottom w:val="nil"/>
              <w:right w:val="single" w:sz="4" w:space="0" w:color="auto"/>
            </w:tcBorders>
            <w:shd w:val="clear" w:color="auto" w:fill="auto"/>
            <w:noWrap/>
            <w:vAlign w:val="center"/>
            <w:hideMark/>
          </w:tcPr>
          <w:p w14:paraId="5DFE70C1"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43.335</w:t>
            </w:r>
          </w:p>
        </w:tc>
        <w:tc>
          <w:tcPr>
            <w:tcW w:w="1260" w:type="dxa"/>
            <w:tcBorders>
              <w:top w:val="nil"/>
              <w:left w:val="nil"/>
              <w:bottom w:val="nil"/>
              <w:right w:val="single" w:sz="4" w:space="0" w:color="auto"/>
            </w:tcBorders>
            <w:shd w:val="clear" w:color="auto" w:fill="auto"/>
            <w:noWrap/>
            <w:vAlign w:val="center"/>
            <w:hideMark/>
          </w:tcPr>
          <w:p w14:paraId="05388A09"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9.066</w:t>
            </w:r>
          </w:p>
        </w:tc>
        <w:tc>
          <w:tcPr>
            <w:tcW w:w="1427" w:type="dxa"/>
            <w:tcBorders>
              <w:top w:val="nil"/>
              <w:left w:val="nil"/>
              <w:bottom w:val="nil"/>
              <w:right w:val="nil"/>
            </w:tcBorders>
            <w:shd w:val="clear" w:color="auto" w:fill="auto"/>
            <w:noWrap/>
            <w:vAlign w:val="center"/>
            <w:hideMark/>
          </w:tcPr>
          <w:p w14:paraId="651440A7"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110.703</w:t>
            </w:r>
          </w:p>
        </w:tc>
        <w:tc>
          <w:tcPr>
            <w:tcW w:w="1101" w:type="dxa"/>
            <w:tcBorders>
              <w:top w:val="nil"/>
              <w:left w:val="single" w:sz="4" w:space="0" w:color="auto"/>
              <w:bottom w:val="nil"/>
              <w:right w:val="single" w:sz="4" w:space="0" w:color="auto"/>
            </w:tcBorders>
            <w:shd w:val="clear" w:color="auto" w:fill="auto"/>
            <w:noWrap/>
            <w:vAlign w:val="bottom"/>
            <w:hideMark/>
          </w:tcPr>
          <w:p w14:paraId="55012826"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52,67%</w:t>
            </w:r>
          </w:p>
        </w:tc>
        <w:tc>
          <w:tcPr>
            <w:tcW w:w="1191" w:type="dxa"/>
            <w:tcBorders>
              <w:top w:val="nil"/>
              <w:left w:val="nil"/>
              <w:bottom w:val="nil"/>
              <w:right w:val="nil"/>
            </w:tcBorders>
            <w:shd w:val="clear" w:color="auto" w:fill="auto"/>
            <w:noWrap/>
            <w:vAlign w:val="bottom"/>
            <w:hideMark/>
          </w:tcPr>
          <w:p w14:paraId="286E1FB5"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39,14%</w:t>
            </w:r>
          </w:p>
        </w:tc>
        <w:tc>
          <w:tcPr>
            <w:tcW w:w="1287" w:type="dxa"/>
            <w:tcBorders>
              <w:top w:val="nil"/>
              <w:left w:val="single" w:sz="4" w:space="0" w:color="auto"/>
              <w:bottom w:val="nil"/>
              <w:right w:val="single" w:sz="8" w:space="0" w:color="auto"/>
            </w:tcBorders>
            <w:shd w:val="clear" w:color="auto" w:fill="auto"/>
            <w:noWrap/>
            <w:vAlign w:val="bottom"/>
            <w:hideMark/>
          </w:tcPr>
          <w:p w14:paraId="23C33DCB"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8,19%</w:t>
            </w:r>
          </w:p>
        </w:tc>
      </w:tr>
      <w:tr w:rsidR="00E703B6" w:rsidRPr="007148A6" w14:paraId="6FB0FD47" w14:textId="77777777" w:rsidTr="00CD45D8">
        <w:trPr>
          <w:trHeight w:val="284"/>
          <w:jc w:val="center"/>
        </w:trPr>
        <w:tc>
          <w:tcPr>
            <w:tcW w:w="713" w:type="dxa"/>
            <w:tcBorders>
              <w:top w:val="nil"/>
              <w:left w:val="single" w:sz="8" w:space="0" w:color="auto"/>
              <w:bottom w:val="nil"/>
              <w:right w:val="single" w:sz="8" w:space="0" w:color="auto"/>
            </w:tcBorders>
            <w:shd w:val="clear" w:color="auto" w:fill="E7E6E6" w:themeFill="background2"/>
            <w:noWrap/>
            <w:vAlign w:val="bottom"/>
            <w:hideMark/>
          </w:tcPr>
          <w:p w14:paraId="1FA9F678" w14:textId="77777777" w:rsidR="00B63623" w:rsidRPr="007148A6" w:rsidRDefault="00B63623" w:rsidP="005E08AA">
            <w:pPr>
              <w:spacing w:after="0" w:line="240" w:lineRule="auto"/>
              <w:jc w:val="right"/>
              <w:rPr>
                <w:rFonts w:ascii="Arial" w:eastAsia="Times New Roman" w:hAnsi="Arial" w:cs="Arial"/>
                <w:b/>
                <w:bCs/>
                <w:color w:val="000000"/>
                <w:lang w:eastAsia="es-AR"/>
              </w:rPr>
            </w:pPr>
            <w:r w:rsidRPr="007148A6">
              <w:rPr>
                <w:rFonts w:ascii="Arial" w:eastAsia="Times New Roman" w:hAnsi="Arial" w:cs="Arial"/>
                <w:b/>
                <w:bCs/>
                <w:color w:val="000000"/>
                <w:lang w:eastAsia="es-AR"/>
              </w:rPr>
              <w:t>2004</w:t>
            </w:r>
          </w:p>
        </w:tc>
        <w:tc>
          <w:tcPr>
            <w:tcW w:w="1173" w:type="dxa"/>
            <w:tcBorders>
              <w:top w:val="nil"/>
              <w:left w:val="nil"/>
              <w:bottom w:val="nil"/>
              <w:right w:val="nil"/>
            </w:tcBorders>
            <w:shd w:val="clear" w:color="auto" w:fill="auto"/>
            <w:noWrap/>
            <w:vAlign w:val="center"/>
            <w:hideMark/>
          </w:tcPr>
          <w:p w14:paraId="56612DD0"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64.015</w:t>
            </w:r>
          </w:p>
        </w:tc>
        <w:tc>
          <w:tcPr>
            <w:tcW w:w="1260" w:type="dxa"/>
            <w:tcBorders>
              <w:top w:val="nil"/>
              <w:left w:val="single" w:sz="4" w:space="0" w:color="auto"/>
              <w:bottom w:val="nil"/>
              <w:right w:val="single" w:sz="4" w:space="0" w:color="auto"/>
            </w:tcBorders>
            <w:shd w:val="clear" w:color="auto" w:fill="auto"/>
            <w:noWrap/>
            <w:vAlign w:val="center"/>
            <w:hideMark/>
          </w:tcPr>
          <w:p w14:paraId="692764B1"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53.484</w:t>
            </w:r>
          </w:p>
        </w:tc>
        <w:tc>
          <w:tcPr>
            <w:tcW w:w="1260" w:type="dxa"/>
            <w:tcBorders>
              <w:top w:val="nil"/>
              <w:left w:val="nil"/>
              <w:bottom w:val="nil"/>
              <w:right w:val="single" w:sz="4" w:space="0" w:color="auto"/>
            </w:tcBorders>
            <w:shd w:val="clear" w:color="auto" w:fill="auto"/>
            <w:noWrap/>
            <w:vAlign w:val="center"/>
            <w:hideMark/>
          </w:tcPr>
          <w:p w14:paraId="274EDC3A"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11.543</w:t>
            </w:r>
          </w:p>
        </w:tc>
        <w:tc>
          <w:tcPr>
            <w:tcW w:w="1427" w:type="dxa"/>
            <w:tcBorders>
              <w:top w:val="nil"/>
              <w:left w:val="nil"/>
              <w:bottom w:val="nil"/>
              <w:right w:val="nil"/>
            </w:tcBorders>
            <w:shd w:val="clear" w:color="auto" w:fill="auto"/>
            <w:noWrap/>
            <w:vAlign w:val="center"/>
            <w:hideMark/>
          </w:tcPr>
          <w:p w14:paraId="17637590"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129.041</w:t>
            </w:r>
          </w:p>
        </w:tc>
        <w:tc>
          <w:tcPr>
            <w:tcW w:w="1101" w:type="dxa"/>
            <w:tcBorders>
              <w:top w:val="nil"/>
              <w:left w:val="single" w:sz="4" w:space="0" w:color="auto"/>
              <w:bottom w:val="nil"/>
              <w:right w:val="single" w:sz="4" w:space="0" w:color="auto"/>
            </w:tcBorders>
            <w:shd w:val="clear" w:color="auto" w:fill="auto"/>
            <w:noWrap/>
            <w:vAlign w:val="bottom"/>
            <w:hideMark/>
          </w:tcPr>
          <w:p w14:paraId="5DA1DCA5"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49,61%</w:t>
            </w:r>
          </w:p>
        </w:tc>
        <w:tc>
          <w:tcPr>
            <w:tcW w:w="1191" w:type="dxa"/>
            <w:tcBorders>
              <w:top w:val="nil"/>
              <w:left w:val="nil"/>
              <w:bottom w:val="nil"/>
              <w:right w:val="nil"/>
            </w:tcBorders>
            <w:shd w:val="clear" w:color="auto" w:fill="auto"/>
            <w:noWrap/>
            <w:vAlign w:val="bottom"/>
            <w:hideMark/>
          </w:tcPr>
          <w:p w14:paraId="259A7CC9"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41,45%</w:t>
            </w:r>
          </w:p>
        </w:tc>
        <w:tc>
          <w:tcPr>
            <w:tcW w:w="1287" w:type="dxa"/>
            <w:tcBorders>
              <w:top w:val="nil"/>
              <w:left w:val="single" w:sz="4" w:space="0" w:color="auto"/>
              <w:bottom w:val="nil"/>
              <w:right w:val="single" w:sz="8" w:space="0" w:color="auto"/>
            </w:tcBorders>
            <w:shd w:val="clear" w:color="auto" w:fill="auto"/>
            <w:noWrap/>
            <w:vAlign w:val="bottom"/>
            <w:hideMark/>
          </w:tcPr>
          <w:p w14:paraId="32B1F281"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8,94%</w:t>
            </w:r>
          </w:p>
        </w:tc>
      </w:tr>
      <w:tr w:rsidR="00E703B6" w:rsidRPr="007148A6" w14:paraId="4D165D75" w14:textId="77777777" w:rsidTr="00CD45D8">
        <w:trPr>
          <w:trHeight w:val="284"/>
          <w:jc w:val="center"/>
        </w:trPr>
        <w:tc>
          <w:tcPr>
            <w:tcW w:w="713" w:type="dxa"/>
            <w:tcBorders>
              <w:top w:val="nil"/>
              <w:left w:val="single" w:sz="8" w:space="0" w:color="auto"/>
              <w:bottom w:val="nil"/>
              <w:right w:val="single" w:sz="8" w:space="0" w:color="auto"/>
            </w:tcBorders>
            <w:shd w:val="clear" w:color="auto" w:fill="E7E6E6" w:themeFill="background2"/>
            <w:noWrap/>
            <w:vAlign w:val="bottom"/>
            <w:hideMark/>
          </w:tcPr>
          <w:p w14:paraId="73F17265" w14:textId="77777777" w:rsidR="00B63623" w:rsidRPr="007148A6" w:rsidRDefault="00B63623" w:rsidP="005E08AA">
            <w:pPr>
              <w:spacing w:after="0" w:line="240" w:lineRule="auto"/>
              <w:jc w:val="right"/>
              <w:rPr>
                <w:rFonts w:ascii="Arial" w:eastAsia="Times New Roman" w:hAnsi="Arial" w:cs="Arial"/>
                <w:b/>
                <w:bCs/>
                <w:color w:val="000000"/>
                <w:lang w:eastAsia="es-AR"/>
              </w:rPr>
            </w:pPr>
            <w:r w:rsidRPr="007148A6">
              <w:rPr>
                <w:rFonts w:ascii="Arial" w:eastAsia="Times New Roman" w:hAnsi="Arial" w:cs="Arial"/>
                <w:b/>
                <w:bCs/>
                <w:color w:val="000000"/>
                <w:lang w:eastAsia="es-AR"/>
              </w:rPr>
              <w:t>2005</w:t>
            </w:r>
          </w:p>
        </w:tc>
        <w:tc>
          <w:tcPr>
            <w:tcW w:w="1173" w:type="dxa"/>
            <w:tcBorders>
              <w:top w:val="nil"/>
              <w:left w:val="nil"/>
              <w:bottom w:val="nil"/>
              <w:right w:val="nil"/>
            </w:tcBorders>
            <w:shd w:val="clear" w:color="auto" w:fill="auto"/>
            <w:noWrap/>
            <w:vAlign w:val="center"/>
            <w:hideMark/>
          </w:tcPr>
          <w:p w14:paraId="10BE7239"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84.378</w:t>
            </w:r>
          </w:p>
        </w:tc>
        <w:tc>
          <w:tcPr>
            <w:tcW w:w="1260" w:type="dxa"/>
            <w:tcBorders>
              <w:top w:val="nil"/>
              <w:left w:val="single" w:sz="4" w:space="0" w:color="auto"/>
              <w:bottom w:val="nil"/>
              <w:right w:val="single" w:sz="4" w:space="0" w:color="auto"/>
            </w:tcBorders>
            <w:shd w:val="clear" w:color="auto" w:fill="auto"/>
            <w:noWrap/>
            <w:vAlign w:val="center"/>
            <w:hideMark/>
          </w:tcPr>
          <w:p w14:paraId="7530ACFA"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69.782</w:t>
            </w:r>
          </w:p>
        </w:tc>
        <w:tc>
          <w:tcPr>
            <w:tcW w:w="1260" w:type="dxa"/>
            <w:tcBorders>
              <w:top w:val="nil"/>
              <w:left w:val="nil"/>
              <w:bottom w:val="nil"/>
              <w:right w:val="single" w:sz="4" w:space="0" w:color="auto"/>
            </w:tcBorders>
            <w:shd w:val="clear" w:color="auto" w:fill="auto"/>
            <w:noWrap/>
            <w:vAlign w:val="center"/>
            <w:hideMark/>
          </w:tcPr>
          <w:p w14:paraId="6768DC78"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15.109</w:t>
            </w:r>
          </w:p>
        </w:tc>
        <w:tc>
          <w:tcPr>
            <w:tcW w:w="1427" w:type="dxa"/>
            <w:tcBorders>
              <w:top w:val="nil"/>
              <w:left w:val="nil"/>
              <w:bottom w:val="nil"/>
              <w:right w:val="nil"/>
            </w:tcBorders>
            <w:shd w:val="clear" w:color="auto" w:fill="auto"/>
            <w:noWrap/>
            <w:vAlign w:val="center"/>
            <w:hideMark/>
          </w:tcPr>
          <w:p w14:paraId="3CDEC5EE"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169.268</w:t>
            </w:r>
          </w:p>
        </w:tc>
        <w:tc>
          <w:tcPr>
            <w:tcW w:w="1101" w:type="dxa"/>
            <w:tcBorders>
              <w:top w:val="nil"/>
              <w:left w:val="single" w:sz="4" w:space="0" w:color="auto"/>
              <w:bottom w:val="nil"/>
              <w:right w:val="single" w:sz="4" w:space="0" w:color="auto"/>
            </w:tcBorders>
            <w:shd w:val="clear" w:color="auto" w:fill="auto"/>
            <w:noWrap/>
            <w:vAlign w:val="bottom"/>
            <w:hideMark/>
          </w:tcPr>
          <w:p w14:paraId="495C093C"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49,85%</w:t>
            </w:r>
          </w:p>
        </w:tc>
        <w:tc>
          <w:tcPr>
            <w:tcW w:w="1191" w:type="dxa"/>
            <w:tcBorders>
              <w:top w:val="nil"/>
              <w:left w:val="nil"/>
              <w:bottom w:val="nil"/>
              <w:right w:val="nil"/>
            </w:tcBorders>
            <w:shd w:val="clear" w:color="auto" w:fill="auto"/>
            <w:noWrap/>
            <w:vAlign w:val="bottom"/>
            <w:hideMark/>
          </w:tcPr>
          <w:p w14:paraId="6ADB3177"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41,23%</w:t>
            </w:r>
          </w:p>
        </w:tc>
        <w:tc>
          <w:tcPr>
            <w:tcW w:w="1287" w:type="dxa"/>
            <w:tcBorders>
              <w:top w:val="nil"/>
              <w:left w:val="single" w:sz="4" w:space="0" w:color="auto"/>
              <w:bottom w:val="nil"/>
              <w:right w:val="single" w:sz="8" w:space="0" w:color="auto"/>
            </w:tcBorders>
            <w:shd w:val="clear" w:color="auto" w:fill="auto"/>
            <w:noWrap/>
            <w:vAlign w:val="bottom"/>
            <w:hideMark/>
          </w:tcPr>
          <w:p w14:paraId="760586EE"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8,93%</w:t>
            </w:r>
          </w:p>
        </w:tc>
      </w:tr>
      <w:tr w:rsidR="00E703B6" w:rsidRPr="007148A6" w14:paraId="44F6F42A" w14:textId="77777777" w:rsidTr="00CD45D8">
        <w:trPr>
          <w:trHeight w:val="284"/>
          <w:jc w:val="center"/>
        </w:trPr>
        <w:tc>
          <w:tcPr>
            <w:tcW w:w="713" w:type="dxa"/>
            <w:tcBorders>
              <w:top w:val="nil"/>
              <w:left w:val="single" w:sz="8" w:space="0" w:color="auto"/>
              <w:bottom w:val="nil"/>
              <w:right w:val="single" w:sz="8" w:space="0" w:color="auto"/>
            </w:tcBorders>
            <w:shd w:val="clear" w:color="auto" w:fill="E7E6E6" w:themeFill="background2"/>
            <w:noWrap/>
            <w:vAlign w:val="bottom"/>
            <w:hideMark/>
          </w:tcPr>
          <w:p w14:paraId="6E0C3B3A" w14:textId="77777777" w:rsidR="00B63623" w:rsidRPr="007148A6" w:rsidRDefault="00B63623" w:rsidP="005E08AA">
            <w:pPr>
              <w:spacing w:after="0" w:line="240" w:lineRule="auto"/>
              <w:jc w:val="right"/>
              <w:rPr>
                <w:rFonts w:ascii="Arial" w:eastAsia="Times New Roman" w:hAnsi="Arial" w:cs="Arial"/>
                <w:b/>
                <w:bCs/>
                <w:color w:val="000000"/>
                <w:lang w:eastAsia="es-AR"/>
              </w:rPr>
            </w:pPr>
            <w:r w:rsidRPr="007148A6">
              <w:rPr>
                <w:rFonts w:ascii="Arial" w:eastAsia="Times New Roman" w:hAnsi="Arial" w:cs="Arial"/>
                <w:b/>
                <w:bCs/>
                <w:color w:val="000000"/>
                <w:lang w:eastAsia="es-AR"/>
              </w:rPr>
              <w:t>2006</w:t>
            </w:r>
          </w:p>
        </w:tc>
        <w:tc>
          <w:tcPr>
            <w:tcW w:w="1173" w:type="dxa"/>
            <w:tcBorders>
              <w:top w:val="nil"/>
              <w:left w:val="nil"/>
              <w:bottom w:val="nil"/>
              <w:right w:val="nil"/>
            </w:tcBorders>
            <w:shd w:val="clear" w:color="auto" w:fill="auto"/>
            <w:noWrap/>
            <w:vAlign w:val="center"/>
            <w:hideMark/>
          </w:tcPr>
          <w:p w14:paraId="66490539"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103.472</w:t>
            </w:r>
          </w:p>
        </w:tc>
        <w:tc>
          <w:tcPr>
            <w:tcW w:w="1260" w:type="dxa"/>
            <w:tcBorders>
              <w:top w:val="nil"/>
              <w:left w:val="single" w:sz="4" w:space="0" w:color="auto"/>
              <w:bottom w:val="nil"/>
              <w:right w:val="single" w:sz="4" w:space="0" w:color="auto"/>
            </w:tcBorders>
            <w:shd w:val="clear" w:color="auto" w:fill="auto"/>
            <w:noWrap/>
            <w:vAlign w:val="center"/>
            <w:hideMark/>
          </w:tcPr>
          <w:p w14:paraId="1A5A3DF1"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89.370</w:t>
            </w:r>
          </w:p>
        </w:tc>
        <w:tc>
          <w:tcPr>
            <w:tcW w:w="1260" w:type="dxa"/>
            <w:tcBorders>
              <w:top w:val="nil"/>
              <w:left w:val="nil"/>
              <w:bottom w:val="nil"/>
              <w:right w:val="single" w:sz="4" w:space="0" w:color="auto"/>
            </w:tcBorders>
            <w:shd w:val="clear" w:color="auto" w:fill="auto"/>
            <w:noWrap/>
            <w:vAlign w:val="center"/>
            <w:hideMark/>
          </w:tcPr>
          <w:p w14:paraId="1306FF0D"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19.392</w:t>
            </w:r>
          </w:p>
        </w:tc>
        <w:tc>
          <w:tcPr>
            <w:tcW w:w="1427" w:type="dxa"/>
            <w:tcBorders>
              <w:top w:val="nil"/>
              <w:left w:val="nil"/>
              <w:bottom w:val="nil"/>
              <w:right w:val="nil"/>
            </w:tcBorders>
            <w:shd w:val="clear" w:color="auto" w:fill="auto"/>
            <w:noWrap/>
            <w:vAlign w:val="center"/>
            <w:hideMark/>
          </w:tcPr>
          <w:p w14:paraId="0E73478E"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212.233</w:t>
            </w:r>
          </w:p>
        </w:tc>
        <w:tc>
          <w:tcPr>
            <w:tcW w:w="1101" w:type="dxa"/>
            <w:tcBorders>
              <w:top w:val="nil"/>
              <w:left w:val="single" w:sz="4" w:space="0" w:color="auto"/>
              <w:bottom w:val="nil"/>
              <w:right w:val="single" w:sz="4" w:space="0" w:color="auto"/>
            </w:tcBorders>
            <w:shd w:val="clear" w:color="auto" w:fill="auto"/>
            <w:noWrap/>
            <w:vAlign w:val="bottom"/>
            <w:hideMark/>
          </w:tcPr>
          <w:p w14:paraId="778CBE0B"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48,75%</w:t>
            </w:r>
          </w:p>
        </w:tc>
        <w:tc>
          <w:tcPr>
            <w:tcW w:w="1191" w:type="dxa"/>
            <w:tcBorders>
              <w:top w:val="nil"/>
              <w:left w:val="nil"/>
              <w:bottom w:val="nil"/>
              <w:right w:val="nil"/>
            </w:tcBorders>
            <w:shd w:val="clear" w:color="auto" w:fill="auto"/>
            <w:noWrap/>
            <w:vAlign w:val="bottom"/>
            <w:hideMark/>
          </w:tcPr>
          <w:p w14:paraId="6D639352"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42,11%</w:t>
            </w:r>
          </w:p>
        </w:tc>
        <w:tc>
          <w:tcPr>
            <w:tcW w:w="1287" w:type="dxa"/>
            <w:tcBorders>
              <w:top w:val="nil"/>
              <w:left w:val="single" w:sz="4" w:space="0" w:color="auto"/>
              <w:bottom w:val="nil"/>
              <w:right w:val="single" w:sz="8" w:space="0" w:color="auto"/>
            </w:tcBorders>
            <w:shd w:val="clear" w:color="auto" w:fill="auto"/>
            <w:noWrap/>
            <w:vAlign w:val="bottom"/>
            <w:hideMark/>
          </w:tcPr>
          <w:p w14:paraId="20179D36"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9,14%</w:t>
            </w:r>
          </w:p>
        </w:tc>
      </w:tr>
      <w:tr w:rsidR="00E703B6" w:rsidRPr="007148A6" w14:paraId="69B4D73D" w14:textId="77777777" w:rsidTr="00CD45D8">
        <w:trPr>
          <w:trHeight w:val="284"/>
          <w:jc w:val="center"/>
        </w:trPr>
        <w:tc>
          <w:tcPr>
            <w:tcW w:w="713" w:type="dxa"/>
            <w:tcBorders>
              <w:top w:val="nil"/>
              <w:left w:val="single" w:sz="8" w:space="0" w:color="auto"/>
              <w:bottom w:val="nil"/>
              <w:right w:val="single" w:sz="8" w:space="0" w:color="auto"/>
            </w:tcBorders>
            <w:shd w:val="clear" w:color="auto" w:fill="E7E6E6" w:themeFill="background2"/>
            <w:noWrap/>
            <w:vAlign w:val="bottom"/>
            <w:hideMark/>
          </w:tcPr>
          <w:p w14:paraId="5101B70A" w14:textId="77777777" w:rsidR="00B63623" w:rsidRPr="007148A6" w:rsidRDefault="00B63623" w:rsidP="005E08AA">
            <w:pPr>
              <w:spacing w:after="0" w:line="240" w:lineRule="auto"/>
              <w:jc w:val="right"/>
              <w:rPr>
                <w:rFonts w:ascii="Arial" w:eastAsia="Times New Roman" w:hAnsi="Arial" w:cs="Arial"/>
                <w:b/>
                <w:bCs/>
                <w:color w:val="000000"/>
                <w:lang w:eastAsia="es-AR"/>
              </w:rPr>
            </w:pPr>
            <w:r w:rsidRPr="007148A6">
              <w:rPr>
                <w:rFonts w:ascii="Arial" w:eastAsia="Times New Roman" w:hAnsi="Arial" w:cs="Arial"/>
                <w:b/>
                <w:bCs/>
                <w:color w:val="000000"/>
                <w:lang w:eastAsia="es-AR"/>
              </w:rPr>
              <w:t>2007</w:t>
            </w:r>
          </w:p>
        </w:tc>
        <w:tc>
          <w:tcPr>
            <w:tcW w:w="1173" w:type="dxa"/>
            <w:tcBorders>
              <w:top w:val="nil"/>
              <w:left w:val="nil"/>
              <w:bottom w:val="nil"/>
              <w:right w:val="nil"/>
            </w:tcBorders>
            <w:shd w:val="clear" w:color="auto" w:fill="auto"/>
            <w:noWrap/>
            <w:vAlign w:val="center"/>
            <w:hideMark/>
          </w:tcPr>
          <w:p w14:paraId="49D7D4EC"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151.230</w:t>
            </w:r>
          </w:p>
        </w:tc>
        <w:tc>
          <w:tcPr>
            <w:tcW w:w="1260" w:type="dxa"/>
            <w:tcBorders>
              <w:top w:val="nil"/>
              <w:left w:val="single" w:sz="4" w:space="0" w:color="auto"/>
              <w:bottom w:val="nil"/>
              <w:right w:val="single" w:sz="4" w:space="0" w:color="auto"/>
            </w:tcBorders>
            <w:shd w:val="clear" w:color="auto" w:fill="auto"/>
            <w:noWrap/>
            <w:vAlign w:val="center"/>
            <w:hideMark/>
          </w:tcPr>
          <w:p w14:paraId="781036DA"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115.898</w:t>
            </w:r>
          </w:p>
        </w:tc>
        <w:tc>
          <w:tcPr>
            <w:tcW w:w="1260" w:type="dxa"/>
            <w:tcBorders>
              <w:top w:val="nil"/>
              <w:left w:val="nil"/>
              <w:bottom w:val="nil"/>
              <w:right w:val="single" w:sz="4" w:space="0" w:color="auto"/>
            </w:tcBorders>
            <w:shd w:val="clear" w:color="auto" w:fill="auto"/>
            <w:noWrap/>
            <w:vAlign w:val="center"/>
            <w:hideMark/>
          </w:tcPr>
          <w:p w14:paraId="21153039"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24.248</w:t>
            </w:r>
          </w:p>
        </w:tc>
        <w:tc>
          <w:tcPr>
            <w:tcW w:w="1427" w:type="dxa"/>
            <w:tcBorders>
              <w:top w:val="nil"/>
              <w:left w:val="nil"/>
              <w:bottom w:val="nil"/>
              <w:right w:val="nil"/>
            </w:tcBorders>
            <w:shd w:val="clear" w:color="auto" w:fill="auto"/>
            <w:noWrap/>
            <w:vAlign w:val="center"/>
            <w:hideMark/>
          </w:tcPr>
          <w:p w14:paraId="44E7CB41"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291.376</w:t>
            </w:r>
          </w:p>
        </w:tc>
        <w:tc>
          <w:tcPr>
            <w:tcW w:w="1101" w:type="dxa"/>
            <w:tcBorders>
              <w:top w:val="nil"/>
              <w:left w:val="single" w:sz="4" w:space="0" w:color="auto"/>
              <w:bottom w:val="nil"/>
              <w:right w:val="single" w:sz="4" w:space="0" w:color="auto"/>
            </w:tcBorders>
            <w:shd w:val="clear" w:color="auto" w:fill="auto"/>
            <w:noWrap/>
            <w:vAlign w:val="bottom"/>
            <w:hideMark/>
          </w:tcPr>
          <w:p w14:paraId="0B6D6092"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51,90%</w:t>
            </w:r>
          </w:p>
        </w:tc>
        <w:tc>
          <w:tcPr>
            <w:tcW w:w="1191" w:type="dxa"/>
            <w:tcBorders>
              <w:top w:val="nil"/>
              <w:left w:val="nil"/>
              <w:bottom w:val="nil"/>
              <w:right w:val="nil"/>
            </w:tcBorders>
            <w:shd w:val="clear" w:color="auto" w:fill="auto"/>
            <w:noWrap/>
            <w:vAlign w:val="bottom"/>
            <w:hideMark/>
          </w:tcPr>
          <w:p w14:paraId="7E1E805A"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39,78%</w:t>
            </w:r>
          </w:p>
        </w:tc>
        <w:tc>
          <w:tcPr>
            <w:tcW w:w="1287" w:type="dxa"/>
            <w:tcBorders>
              <w:top w:val="nil"/>
              <w:left w:val="single" w:sz="4" w:space="0" w:color="auto"/>
              <w:bottom w:val="nil"/>
              <w:right w:val="single" w:sz="8" w:space="0" w:color="auto"/>
            </w:tcBorders>
            <w:shd w:val="clear" w:color="auto" w:fill="auto"/>
            <w:noWrap/>
            <w:vAlign w:val="bottom"/>
            <w:hideMark/>
          </w:tcPr>
          <w:p w14:paraId="732EE930"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8,32%</w:t>
            </w:r>
          </w:p>
        </w:tc>
      </w:tr>
      <w:tr w:rsidR="00E703B6" w:rsidRPr="007148A6" w14:paraId="1D701C8F" w14:textId="77777777" w:rsidTr="00CD45D8">
        <w:trPr>
          <w:trHeight w:val="284"/>
          <w:jc w:val="center"/>
        </w:trPr>
        <w:tc>
          <w:tcPr>
            <w:tcW w:w="713" w:type="dxa"/>
            <w:tcBorders>
              <w:top w:val="nil"/>
              <w:left w:val="single" w:sz="8" w:space="0" w:color="auto"/>
              <w:bottom w:val="nil"/>
              <w:right w:val="single" w:sz="8" w:space="0" w:color="auto"/>
            </w:tcBorders>
            <w:shd w:val="clear" w:color="auto" w:fill="E7E6E6" w:themeFill="background2"/>
            <w:noWrap/>
            <w:vAlign w:val="bottom"/>
            <w:hideMark/>
          </w:tcPr>
          <w:p w14:paraId="59B2224A" w14:textId="77777777" w:rsidR="00B63623" w:rsidRPr="007148A6" w:rsidRDefault="00B63623" w:rsidP="005E08AA">
            <w:pPr>
              <w:spacing w:after="0" w:line="240" w:lineRule="auto"/>
              <w:jc w:val="right"/>
              <w:rPr>
                <w:rFonts w:ascii="Arial" w:eastAsia="Times New Roman" w:hAnsi="Arial" w:cs="Arial"/>
                <w:b/>
                <w:bCs/>
                <w:color w:val="000000"/>
                <w:lang w:eastAsia="es-AR"/>
              </w:rPr>
            </w:pPr>
            <w:r w:rsidRPr="007148A6">
              <w:rPr>
                <w:rFonts w:ascii="Arial" w:eastAsia="Times New Roman" w:hAnsi="Arial" w:cs="Arial"/>
                <w:b/>
                <w:bCs/>
                <w:color w:val="000000"/>
                <w:lang w:eastAsia="es-AR"/>
              </w:rPr>
              <w:t>2008</w:t>
            </w:r>
          </w:p>
        </w:tc>
        <w:tc>
          <w:tcPr>
            <w:tcW w:w="1173" w:type="dxa"/>
            <w:tcBorders>
              <w:top w:val="nil"/>
              <w:left w:val="nil"/>
              <w:bottom w:val="nil"/>
              <w:right w:val="nil"/>
            </w:tcBorders>
            <w:shd w:val="clear" w:color="auto" w:fill="auto"/>
            <w:noWrap/>
            <w:vAlign w:val="center"/>
            <w:hideMark/>
          </w:tcPr>
          <w:p w14:paraId="21DA56A3"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209.602</w:t>
            </w:r>
          </w:p>
        </w:tc>
        <w:tc>
          <w:tcPr>
            <w:tcW w:w="1260" w:type="dxa"/>
            <w:tcBorders>
              <w:top w:val="nil"/>
              <w:left w:val="single" w:sz="4" w:space="0" w:color="auto"/>
              <w:bottom w:val="nil"/>
              <w:right w:val="single" w:sz="4" w:space="0" w:color="auto"/>
            </w:tcBorders>
            <w:shd w:val="clear" w:color="auto" w:fill="auto"/>
            <w:noWrap/>
            <w:vAlign w:val="center"/>
            <w:hideMark/>
          </w:tcPr>
          <w:p w14:paraId="503A7851"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154.821</w:t>
            </w:r>
          </w:p>
        </w:tc>
        <w:tc>
          <w:tcPr>
            <w:tcW w:w="1260" w:type="dxa"/>
            <w:tcBorders>
              <w:top w:val="nil"/>
              <w:left w:val="nil"/>
              <w:bottom w:val="nil"/>
              <w:right w:val="single" w:sz="4" w:space="0" w:color="auto"/>
            </w:tcBorders>
            <w:shd w:val="clear" w:color="auto" w:fill="auto"/>
            <w:noWrap/>
            <w:vAlign w:val="center"/>
            <w:hideMark/>
          </w:tcPr>
          <w:p w14:paraId="6E2691BE"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29.946</w:t>
            </w:r>
          </w:p>
        </w:tc>
        <w:tc>
          <w:tcPr>
            <w:tcW w:w="1427" w:type="dxa"/>
            <w:tcBorders>
              <w:top w:val="nil"/>
              <w:left w:val="nil"/>
              <w:bottom w:val="nil"/>
              <w:right w:val="nil"/>
            </w:tcBorders>
            <w:shd w:val="clear" w:color="auto" w:fill="auto"/>
            <w:noWrap/>
            <w:vAlign w:val="center"/>
            <w:hideMark/>
          </w:tcPr>
          <w:p w14:paraId="58B20974"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394.369</w:t>
            </w:r>
          </w:p>
        </w:tc>
        <w:tc>
          <w:tcPr>
            <w:tcW w:w="1101" w:type="dxa"/>
            <w:tcBorders>
              <w:top w:val="nil"/>
              <w:left w:val="single" w:sz="4" w:space="0" w:color="auto"/>
              <w:bottom w:val="nil"/>
              <w:right w:val="single" w:sz="4" w:space="0" w:color="auto"/>
            </w:tcBorders>
            <w:shd w:val="clear" w:color="auto" w:fill="auto"/>
            <w:noWrap/>
            <w:vAlign w:val="bottom"/>
            <w:hideMark/>
          </w:tcPr>
          <w:p w14:paraId="4121827A"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53,15%</w:t>
            </w:r>
          </w:p>
        </w:tc>
        <w:tc>
          <w:tcPr>
            <w:tcW w:w="1191" w:type="dxa"/>
            <w:tcBorders>
              <w:top w:val="nil"/>
              <w:left w:val="nil"/>
              <w:bottom w:val="nil"/>
              <w:right w:val="nil"/>
            </w:tcBorders>
            <w:shd w:val="clear" w:color="auto" w:fill="auto"/>
            <w:noWrap/>
            <w:vAlign w:val="bottom"/>
            <w:hideMark/>
          </w:tcPr>
          <w:p w14:paraId="3D976C45"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39,26%</w:t>
            </w:r>
          </w:p>
        </w:tc>
        <w:tc>
          <w:tcPr>
            <w:tcW w:w="1287" w:type="dxa"/>
            <w:tcBorders>
              <w:top w:val="nil"/>
              <w:left w:val="single" w:sz="4" w:space="0" w:color="auto"/>
              <w:bottom w:val="nil"/>
              <w:right w:val="single" w:sz="8" w:space="0" w:color="auto"/>
            </w:tcBorders>
            <w:shd w:val="clear" w:color="auto" w:fill="auto"/>
            <w:noWrap/>
            <w:vAlign w:val="bottom"/>
            <w:hideMark/>
          </w:tcPr>
          <w:p w14:paraId="752166C2"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7,59%</w:t>
            </w:r>
          </w:p>
        </w:tc>
      </w:tr>
      <w:tr w:rsidR="00E703B6" w:rsidRPr="007148A6" w14:paraId="0B302BCE" w14:textId="77777777" w:rsidTr="00CD45D8">
        <w:trPr>
          <w:trHeight w:val="284"/>
          <w:jc w:val="center"/>
        </w:trPr>
        <w:tc>
          <w:tcPr>
            <w:tcW w:w="713" w:type="dxa"/>
            <w:tcBorders>
              <w:top w:val="nil"/>
              <w:left w:val="single" w:sz="8" w:space="0" w:color="auto"/>
              <w:bottom w:val="nil"/>
              <w:right w:val="single" w:sz="8" w:space="0" w:color="auto"/>
            </w:tcBorders>
            <w:shd w:val="clear" w:color="auto" w:fill="E7E6E6" w:themeFill="background2"/>
            <w:noWrap/>
            <w:vAlign w:val="bottom"/>
            <w:hideMark/>
          </w:tcPr>
          <w:p w14:paraId="71046BFE" w14:textId="77777777" w:rsidR="00B63623" w:rsidRPr="007148A6" w:rsidRDefault="00B63623" w:rsidP="005E08AA">
            <w:pPr>
              <w:spacing w:after="0" w:line="240" w:lineRule="auto"/>
              <w:jc w:val="right"/>
              <w:rPr>
                <w:rFonts w:ascii="Arial" w:eastAsia="Times New Roman" w:hAnsi="Arial" w:cs="Arial"/>
                <w:b/>
                <w:bCs/>
                <w:color w:val="000000"/>
                <w:lang w:eastAsia="es-AR"/>
              </w:rPr>
            </w:pPr>
            <w:r w:rsidRPr="007148A6">
              <w:rPr>
                <w:rFonts w:ascii="Arial" w:eastAsia="Times New Roman" w:hAnsi="Arial" w:cs="Arial"/>
                <w:b/>
                <w:bCs/>
                <w:color w:val="000000"/>
                <w:lang w:eastAsia="es-AR"/>
              </w:rPr>
              <w:t>2009</w:t>
            </w:r>
          </w:p>
        </w:tc>
        <w:tc>
          <w:tcPr>
            <w:tcW w:w="1173" w:type="dxa"/>
            <w:tcBorders>
              <w:top w:val="nil"/>
              <w:left w:val="nil"/>
              <w:bottom w:val="nil"/>
              <w:right w:val="nil"/>
            </w:tcBorders>
            <w:shd w:val="clear" w:color="auto" w:fill="auto"/>
            <w:noWrap/>
            <w:vAlign w:val="center"/>
            <w:hideMark/>
          </w:tcPr>
          <w:p w14:paraId="51AFEB81"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269.648</w:t>
            </w:r>
          </w:p>
        </w:tc>
        <w:tc>
          <w:tcPr>
            <w:tcW w:w="1260" w:type="dxa"/>
            <w:tcBorders>
              <w:top w:val="nil"/>
              <w:left w:val="single" w:sz="4" w:space="0" w:color="auto"/>
              <w:bottom w:val="nil"/>
              <w:right w:val="single" w:sz="4" w:space="0" w:color="auto"/>
            </w:tcBorders>
            <w:shd w:val="clear" w:color="auto" w:fill="auto"/>
            <w:noWrap/>
            <w:vAlign w:val="center"/>
            <w:hideMark/>
          </w:tcPr>
          <w:p w14:paraId="64EA93FF"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188.218</w:t>
            </w:r>
          </w:p>
        </w:tc>
        <w:tc>
          <w:tcPr>
            <w:tcW w:w="1260" w:type="dxa"/>
            <w:tcBorders>
              <w:top w:val="nil"/>
              <w:left w:val="nil"/>
              <w:bottom w:val="nil"/>
              <w:right w:val="single" w:sz="4" w:space="0" w:color="auto"/>
            </w:tcBorders>
            <w:shd w:val="clear" w:color="auto" w:fill="auto"/>
            <w:noWrap/>
            <w:vAlign w:val="center"/>
            <w:hideMark/>
          </w:tcPr>
          <w:p w14:paraId="163C7934"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39.887</w:t>
            </w:r>
          </w:p>
        </w:tc>
        <w:tc>
          <w:tcPr>
            <w:tcW w:w="1427" w:type="dxa"/>
            <w:tcBorders>
              <w:top w:val="nil"/>
              <w:left w:val="nil"/>
              <w:bottom w:val="nil"/>
              <w:right w:val="nil"/>
            </w:tcBorders>
            <w:shd w:val="clear" w:color="auto" w:fill="auto"/>
            <w:noWrap/>
            <w:vAlign w:val="center"/>
            <w:hideMark/>
          </w:tcPr>
          <w:p w14:paraId="29027205"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497.753</w:t>
            </w:r>
          </w:p>
        </w:tc>
        <w:tc>
          <w:tcPr>
            <w:tcW w:w="1101" w:type="dxa"/>
            <w:tcBorders>
              <w:top w:val="nil"/>
              <w:left w:val="single" w:sz="4" w:space="0" w:color="auto"/>
              <w:bottom w:val="nil"/>
              <w:right w:val="single" w:sz="4" w:space="0" w:color="auto"/>
            </w:tcBorders>
            <w:shd w:val="clear" w:color="auto" w:fill="auto"/>
            <w:noWrap/>
            <w:vAlign w:val="bottom"/>
            <w:hideMark/>
          </w:tcPr>
          <w:p w14:paraId="5DDCF126"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54,17%</w:t>
            </w:r>
          </w:p>
        </w:tc>
        <w:tc>
          <w:tcPr>
            <w:tcW w:w="1191" w:type="dxa"/>
            <w:tcBorders>
              <w:top w:val="nil"/>
              <w:left w:val="nil"/>
              <w:bottom w:val="nil"/>
              <w:right w:val="nil"/>
            </w:tcBorders>
            <w:shd w:val="clear" w:color="auto" w:fill="auto"/>
            <w:noWrap/>
            <w:vAlign w:val="bottom"/>
            <w:hideMark/>
          </w:tcPr>
          <w:p w14:paraId="001C15A7"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37,81%</w:t>
            </w:r>
          </w:p>
        </w:tc>
        <w:tc>
          <w:tcPr>
            <w:tcW w:w="1287" w:type="dxa"/>
            <w:tcBorders>
              <w:top w:val="nil"/>
              <w:left w:val="single" w:sz="4" w:space="0" w:color="auto"/>
              <w:bottom w:val="nil"/>
              <w:right w:val="single" w:sz="8" w:space="0" w:color="auto"/>
            </w:tcBorders>
            <w:shd w:val="clear" w:color="auto" w:fill="auto"/>
            <w:noWrap/>
            <w:vAlign w:val="bottom"/>
            <w:hideMark/>
          </w:tcPr>
          <w:p w14:paraId="507748C9"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8,01%</w:t>
            </w:r>
          </w:p>
        </w:tc>
      </w:tr>
      <w:tr w:rsidR="00E703B6" w:rsidRPr="007148A6" w14:paraId="7B9BF6B0" w14:textId="77777777" w:rsidTr="00CD45D8">
        <w:trPr>
          <w:trHeight w:val="284"/>
          <w:jc w:val="center"/>
        </w:trPr>
        <w:tc>
          <w:tcPr>
            <w:tcW w:w="713" w:type="dxa"/>
            <w:tcBorders>
              <w:top w:val="nil"/>
              <w:left w:val="single" w:sz="8" w:space="0" w:color="auto"/>
              <w:bottom w:val="nil"/>
              <w:right w:val="single" w:sz="8" w:space="0" w:color="auto"/>
            </w:tcBorders>
            <w:shd w:val="clear" w:color="auto" w:fill="E7E6E6" w:themeFill="background2"/>
            <w:noWrap/>
            <w:vAlign w:val="bottom"/>
            <w:hideMark/>
          </w:tcPr>
          <w:p w14:paraId="520D2519" w14:textId="77777777" w:rsidR="00B63623" w:rsidRPr="007148A6" w:rsidRDefault="00B63623" w:rsidP="005E08AA">
            <w:pPr>
              <w:spacing w:after="0" w:line="240" w:lineRule="auto"/>
              <w:jc w:val="right"/>
              <w:rPr>
                <w:rFonts w:ascii="Arial" w:eastAsia="Times New Roman" w:hAnsi="Arial" w:cs="Arial"/>
                <w:b/>
                <w:bCs/>
                <w:color w:val="000000"/>
                <w:lang w:eastAsia="es-AR"/>
              </w:rPr>
            </w:pPr>
            <w:r w:rsidRPr="007148A6">
              <w:rPr>
                <w:rFonts w:ascii="Arial" w:eastAsia="Times New Roman" w:hAnsi="Arial" w:cs="Arial"/>
                <w:b/>
                <w:bCs/>
                <w:color w:val="000000"/>
                <w:lang w:eastAsia="es-AR"/>
              </w:rPr>
              <w:t>2010</w:t>
            </w:r>
          </w:p>
        </w:tc>
        <w:tc>
          <w:tcPr>
            <w:tcW w:w="1173" w:type="dxa"/>
            <w:tcBorders>
              <w:top w:val="nil"/>
              <w:left w:val="nil"/>
              <w:bottom w:val="nil"/>
              <w:right w:val="nil"/>
            </w:tcBorders>
            <w:shd w:val="clear" w:color="auto" w:fill="auto"/>
            <w:noWrap/>
            <w:vAlign w:val="center"/>
            <w:hideMark/>
          </w:tcPr>
          <w:p w14:paraId="5D5510D0"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349.761</w:t>
            </w:r>
          </w:p>
        </w:tc>
        <w:tc>
          <w:tcPr>
            <w:tcW w:w="1260" w:type="dxa"/>
            <w:tcBorders>
              <w:top w:val="nil"/>
              <w:left w:val="single" w:sz="4" w:space="0" w:color="auto"/>
              <w:bottom w:val="nil"/>
              <w:right w:val="single" w:sz="4" w:space="0" w:color="auto"/>
            </w:tcBorders>
            <w:shd w:val="clear" w:color="auto" w:fill="auto"/>
            <w:noWrap/>
            <w:vAlign w:val="center"/>
            <w:hideMark/>
          </w:tcPr>
          <w:p w14:paraId="2372E883"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233.120</w:t>
            </w:r>
          </w:p>
        </w:tc>
        <w:tc>
          <w:tcPr>
            <w:tcW w:w="1260" w:type="dxa"/>
            <w:tcBorders>
              <w:top w:val="nil"/>
              <w:left w:val="nil"/>
              <w:bottom w:val="nil"/>
              <w:right w:val="single" w:sz="4" w:space="0" w:color="auto"/>
            </w:tcBorders>
            <w:shd w:val="clear" w:color="auto" w:fill="auto"/>
            <w:noWrap/>
            <w:vAlign w:val="center"/>
            <w:hideMark/>
          </w:tcPr>
          <w:p w14:paraId="0A4EA11E"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53.062</w:t>
            </w:r>
          </w:p>
        </w:tc>
        <w:tc>
          <w:tcPr>
            <w:tcW w:w="1427" w:type="dxa"/>
            <w:tcBorders>
              <w:top w:val="nil"/>
              <w:left w:val="nil"/>
              <w:bottom w:val="nil"/>
              <w:right w:val="nil"/>
            </w:tcBorders>
            <w:shd w:val="clear" w:color="auto" w:fill="auto"/>
            <w:noWrap/>
            <w:vAlign w:val="center"/>
            <w:hideMark/>
          </w:tcPr>
          <w:p w14:paraId="05879FDE"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635.943</w:t>
            </w:r>
          </w:p>
        </w:tc>
        <w:tc>
          <w:tcPr>
            <w:tcW w:w="1101" w:type="dxa"/>
            <w:tcBorders>
              <w:top w:val="nil"/>
              <w:left w:val="single" w:sz="4" w:space="0" w:color="auto"/>
              <w:bottom w:val="nil"/>
              <w:right w:val="single" w:sz="4" w:space="0" w:color="auto"/>
            </w:tcBorders>
            <w:shd w:val="clear" w:color="auto" w:fill="auto"/>
            <w:noWrap/>
            <w:vAlign w:val="bottom"/>
            <w:hideMark/>
          </w:tcPr>
          <w:p w14:paraId="3F0CC251"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55,00%</w:t>
            </w:r>
          </w:p>
        </w:tc>
        <w:tc>
          <w:tcPr>
            <w:tcW w:w="1191" w:type="dxa"/>
            <w:tcBorders>
              <w:top w:val="nil"/>
              <w:left w:val="nil"/>
              <w:bottom w:val="nil"/>
              <w:right w:val="nil"/>
            </w:tcBorders>
            <w:shd w:val="clear" w:color="auto" w:fill="auto"/>
            <w:noWrap/>
            <w:vAlign w:val="bottom"/>
            <w:hideMark/>
          </w:tcPr>
          <w:p w14:paraId="67877FE1"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36,66%</w:t>
            </w:r>
          </w:p>
        </w:tc>
        <w:tc>
          <w:tcPr>
            <w:tcW w:w="1287" w:type="dxa"/>
            <w:tcBorders>
              <w:top w:val="nil"/>
              <w:left w:val="single" w:sz="4" w:space="0" w:color="auto"/>
              <w:bottom w:val="nil"/>
              <w:right w:val="single" w:sz="8" w:space="0" w:color="auto"/>
            </w:tcBorders>
            <w:shd w:val="clear" w:color="auto" w:fill="auto"/>
            <w:noWrap/>
            <w:vAlign w:val="bottom"/>
            <w:hideMark/>
          </w:tcPr>
          <w:p w14:paraId="5441CE80"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8,34%</w:t>
            </w:r>
          </w:p>
        </w:tc>
      </w:tr>
      <w:tr w:rsidR="00E703B6" w:rsidRPr="007148A6" w14:paraId="1454E798" w14:textId="77777777" w:rsidTr="00CD45D8">
        <w:trPr>
          <w:trHeight w:val="284"/>
          <w:jc w:val="center"/>
        </w:trPr>
        <w:tc>
          <w:tcPr>
            <w:tcW w:w="713" w:type="dxa"/>
            <w:tcBorders>
              <w:top w:val="nil"/>
              <w:left w:val="single" w:sz="8" w:space="0" w:color="auto"/>
              <w:bottom w:val="nil"/>
              <w:right w:val="single" w:sz="8" w:space="0" w:color="auto"/>
            </w:tcBorders>
            <w:shd w:val="clear" w:color="auto" w:fill="E7E6E6" w:themeFill="background2"/>
            <w:noWrap/>
            <w:vAlign w:val="bottom"/>
            <w:hideMark/>
          </w:tcPr>
          <w:p w14:paraId="2953B740" w14:textId="77777777" w:rsidR="00B63623" w:rsidRPr="007148A6" w:rsidRDefault="00B63623" w:rsidP="005E08AA">
            <w:pPr>
              <w:spacing w:after="0" w:line="240" w:lineRule="auto"/>
              <w:jc w:val="right"/>
              <w:rPr>
                <w:rFonts w:ascii="Arial" w:eastAsia="Times New Roman" w:hAnsi="Arial" w:cs="Arial"/>
                <w:b/>
                <w:bCs/>
                <w:color w:val="000000"/>
                <w:lang w:eastAsia="es-AR"/>
              </w:rPr>
            </w:pPr>
            <w:r w:rsidRPr="007148A6">
              <w:rPr>
                <w:rFonts w:ascii="Arial" w:eastAsia="Times New Roman" w:hAnsi="Arial" w:cs="Arial"/>
                <w:b/>
                <w:bCs/>
                <w:color w:val="000000"/>
                <w:lang w:eastAsia="es-AR"/>
              </w:rPr>
              <w:t>2011</w:t>
            </w:r>
          </w:p>
        </w:tc>
        <w:tc>
          <w:tcPr>
            <w:tcW w:w="1173" w:type="dxa"/>
            <w:tcBorders>
              <w:top w:val="nil"/>
              <w:left w:val="nil"/>
              <w:bottom w:val="nil"/>
              <w:right w:val="nil"/>
            </w:tcBorders>
            <w:shd w:val="clear" w:color="auto" w:fill="auto"/>
            <w:noWrap/>
            <w:vAlign w:val="center"/>
            <w:hideMark/>
          </w:tcPr>
          <w:p w14:paraId="0BA9C8BA"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483.379</w:t>
            </w:r>
          </w:p>
        </w:tc>
        <w:tc>
          <w:tcPr>
            <w:tcW w:w="1260" w:type="dxa"/>
            <w:tcBorders>
              <w:top w:val="nil"/>
              <w:left w:val="single" w:sz="4" w:space="0" w:color="auto"/>
              <w:bottom w:val="nil"/>
              <w:right w:val="single" w:sz="4" w:space="0" w:color="auto"/>
            </w:tcBorders>
            <w:shd w:val="clear" w:color="auto" w:fill="auto"/>
            <w:noWrap/>
            <w:vAlign w:val="center"/>
            <w:hideMark/>
          </w:tcPr>
          <w:p w14:paraId="0B863D13"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321.079</w:t>
            </w:r>
          </w:p>
        </w:tc>
        <w:tc>
          <w:tcPr>
            <w:tcW w:w="1260" w:type="dxa"/>
            <w:tcBorders>
              <w:top w:val="nil"/>
              <w:left w:val="nil"/>
              <w:bottom w:val="nil"/>
              <w:right w:val="single" w:sz="4" w:space="0" w:color="auto"/>
            </w:tcBorders>
            <w:shd w:val="clear" w:color="auto" w:fill="auto"/>
            <w:noWrap/>
            <w:vAlign w:val="center"/>
            <w:hideMark/>
          </w:tcPr>
          <w:p w14:paraId="37E1A98A"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67.297</w:t>
            </w:r>
          </w:p>
        </w:tc>
        <w:tc>
          <w:tcPr>
            <w:tcW w:w="1427" w:type="dxa"/>
            <w:tcBorders>
              <w:top w:val="nil"/>
              <w:left w:val="nil"/>
              <w:bottom w:val="nil"/>
              <w:right w:val="nil"/>
            </w:tcBorders>
            <w:shd w:val="clear" w:color="auto" w:fill="auto"/>
            <w:noWrap/>
            <w:vAlign w:val="center"/>
            <w:hideMark/>
          </w:tcPr>
          <w:p w14:paraId="6731F057"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871.756</w:t>
            </w:r>
          </w:p>
        </w:tc>
        <w:tc>
          <w:tcPr>
            <w:tcW w:w="1101" w:type="dxa"/>
            <w:tcBorders>
              <w:top w:val="nil"/>
              <w:left w:val="single" w:sz="4" w:space="0" w:color="auto"/>
              <w:bottom w:val="nil"/>
              <w:right w:val="single" w:sz="4" w:space="0" w:color="auto"/>
            </w:tcBorders>
            <w:shd w:val="clear" w:color="auto" w:fill="auto"/>
            <w:noWrap/>
            <w:vAlign w:val="bottom"/>
            <w:hideMark/>
          </w:tcPr>
          <w:p w14:paraId="01DE3850"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55,45%</w:t>
            </w:r>
          </w:p>
        </w:tc>
        <w:tc>
          <w:tcPr>
            <w:tcW w:w="1191" w:type="dxa"/>
            <w:tcBorders>
              <w:top w:val="nil"/>
              <w:left w:val="nil"/>
              <w:bottom w:val="nil"/>
              <w:right w:val="nil"/>
            </w:tcBorders>
            <w:shd w:val="clear" w:color="auto" w:fill="auto"/>
            <w:noWrap/>
            <w:vAlign w:val="bottom"/>
            <w:hideMark/>
          </w:tcPr>
          <w:p w14:paraId="45230E75"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36,83%</w:t>
            </w:r>
          </w:p>
        </w:tc>
        <w:tc>
          <w:tcPr>
            <w:tcW w:w="1287" w:type="dxa"/>
            <w:tcBorders>
              <w:top w:val="nil"/>
              <w:left w:val="single" w:sz="4" w:space="0" w:color="auto"/>
              <w:bottom w:val="nil"/>
              <w:right w:val="single" w:sz="8" w:space="0" w:color="auto"/>
            </w:tcBorders>
            <w:shd w:val="clear" w:color="auto" w:fill="auto"/>
            <w:noWrap/>
            <w:vAlign w:val="bottom"/>
            <w:hideMark/>
          </w:tcPr>
          <w:p w14:paraId="6CEE7D96"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7,72%</w:t>
            </w:r>
          </w:p>
        </w:tc>
      </w:tr>
      <w:tr w:rsidR="00E703B6" w:rsidRPr="007148A6" w14:paraId="13EBA11D" w14:textId="77777777" w:rsidTr="00CD45D8">
        <w:trPr>
          <w:trHeight w:val="284"/>
          <w:jc w:val="center"/>
        </w:trPr>
        <w:tc>
          <w:tcPr>
            <w:tcW w:w="713" w:type="dxa"/>
            <w:tcBorders>
              <w:top w:val="nil"/>
              <w:left w:val="single" w:sz="8" w:space="0" w:color="auto"/>
              <w:bottom w:val="nil"/>
              <w:right w:val="single" w:sz="8" w:space="0" w:color="auto"/>
            </w:tcBorders>
            <w:shd w:val="clear" w:color="auto" w:fill="E7E6E6" w:themeFill="background2"/>
            <w:noWrap/>
            <w:vAlign w:val="bottom"/>
            <w:hideMark/>
          </w:tcPr>
          <w:p w14:paraId="18456EB0" w14:textId="77777777" w:rsidR="00B63623" w:rsidRPr="007148A6" w:rsidRDefault="00B63623" w:rsidP="005E08AA">
            <w:pPr>
              <w:spacing w:after="0" w:line="240" w:lineRule="auto"/>
              <w:jc w:val="right"/>
              <w:rPr>
                <w:rFonts w:ascii="Arial" w:eastAsia="Times New Roman" w:hAnsi="Arial" w:cs="Arial"/>
                <w:b/>
                <w:bCs/>
                <w:color w:val="000000"/>
                <w:lang w:eastAsia="es-AR"/>
              </w:rPr>
            </w:pPr>
            <w:r w:rsidRPr="007148A6">
              <w:rPr>
                <w:rFonts w:ascii="Arial" w:eastAsia="Times New Roman" w:hAnsi="Arial" w:cs="Arial"/>
                <w:b/>
                <w:bCs/>
                <w:color w:val="000000"/>
                <w:lang w:eastAsia="es-AR"/>
              </w:rPr>
              <w:t>2012</w:t>
            </w:r>
          </w:p>
        </w:tc>
        <w:tc>
          <w:tcPr>
            <w:tcW w:w="1173" w:type="dxa"/>
            <w:tcBorders>
              <w:top w:val="nil"/>
              <w:left w:val="nil"/>
              <w:bottom w:val="nil"/>
              <w:right w:val="nil"/>
            </w:tcBorders>
            <w:shd w:val="clear" w:color="auto" w:fill="auto"/>
            <w:noWrap/>
            <w:vAlign w:val="center"/>
            <w:hideMark/>
          </w:tcPr>
          <w:p w14:paraId="3AB41FD1"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612.582</w:t>
            </w:r>
          </w:p>
        </w:tc>
        <w:tc>
          <w:tcPr>
            <w:tcW w:w="1260" w:type="dxa"/>
            <w:tcBorders>
              <w:top w:val="nil"/>
              <w:left w:val="single" w:sz="4" w:space="0" w:color="auto"/>
              <w:bottom w:val="nil"/>
              <w:right w:val="single" w:sz="4" w:space="0" w:color="auto"/>
            </w:tcBorders>
            <w:shd w:val="clear" w:color="auto" w:fill="auto"/>
            <w:noWrap/>
            <w:vAlign w:val="center"/>
            <w:hideMark/>
          </w:tcPr>
          <w:p w14:paraId="2B357283"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395.714</w:t>
            </w:r>
          </w:p>
        </w:tc>
        <w:tc>
          <w:tcPr>
            <w:tcW w:w="1260" w:type="dxa"/>
            <w:tcBorders>
              <w:top w:val="nil"/>
              <w:left w:val="nil"/>
              <w:bottom w:val="nil"/>
              <w:right w:val="single" w:sz="4" w:space="0" w:color="auto"/>
            </w:tcBorders>
            <w:shd w:val="clear" w:color="auto" w:fill="auto"/>
            <w:noWrap/>
            <w:vAlign w:val="center"/>
            <w:hideMark/>
          </w:tcPr>
          <w:p w14:paraId="3C76E069"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80.614</w:t>
            </w:r>
          </w:p>
        </w:tc>
        <w:tc>
          <w:tcPr>
            <w:tcW w:w="1427" w:type="dxa"/>
            <w:tcBorders>
              <w:top w:val="nil"/>
              <w:left w:val="nil"/>
              <w:bottom w:val="nil"/>
              <w:right w:val="nil"/>
            </w:tcBorders>
            <w:shd w:val="clear" w:color="auto" w:fill="auto"/>
            <w:noWrap/>
            <w:vAlign w:val="center"/>
            <w:hideMark/>
          </w:tcPr>
          <w:p w14:paraId="378BE74C"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1.088.910</w:t>
            </w:r>
          </w:p>
        </w:tc>
        <w:tc>
          <w:tcPr>
            <w:tcW w:w="1101" w:type="dxa"/>
            <w:tcBorders>
              <w:top w:val="nil"/>
              <w:left w:val="single" w:sz="4" w:space="0" w:color="auto"/>
              <w:bottom w:val="nil"/>
              <w:right w:val="single" w:sz="4" w:space="0" w:color="auto"/>
            </w:tcBorders>
            <w:shd w:val="clear" w:color="auto" w:fill="auto"/>
            <w:noWrap/>
            <w:vAlign w:val="bottom"/>
            <w:hideMark/>
          </w:tcPr>
          <w:p w14:paraId="0D352F92"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56,26%</w:t>
            </w:r>
          </w:p>
        </w:tc>
        <w:tc>
          <w:tcPr>
            <w:tcW w:w="1191" w:type="dxa"/>
            <w:tcBorders>
              <w:top w:val="nil"/>
              <w:left w:val="nil"/>
              <w:bottom w:val="nil"/>
              <w:right w:val="nil"/>
            </w:tcBorders>
            <w:shd w:val="clear" w:color="auto" w:fill="auto"/>
            <w:noWrap/>
            <w:vAlign w:val="bottom"/>
            <w:hideMark/>
          </w:tcPr>
          <w:p w14:paraId="4C6EA92A"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36,34%</w:t>
            </w:r>
          </w:p>
        </w:tc>
        <w:tc>
          <w:tcPr>
            <w:tcW w:w="1287" w:type="dxa"/>
            <w:tcBorders>
              <w:top w:val="nil"/>
              <w:left w:val="single" w:sz="4" w:space="0" w:color="auto"/>
              <w:bottom w:val="nil"/>
              <w:right w:val="single" w:sz="8" w:space="0" w:color="auto"/>
            </w:tcBorders>
            <w:shd w:val="clear" w:color="auto" w:fill="auto"/>
            <w:noWrap/>
            <w:vAlign w:val="bottom"/>
            <w:hideMark/>
          </w:tcPr>
          <w:p w14:paraId="4C5C81C8"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7,40%</w:t>
            </w:r>
          </w:p>
        </w:tc>
      </w:tr>
      <w:tr w:rsidR="00E703B6" w:rsidRPr="007148A6" w14:paraId="6AE2E9C7" w14:textId="77777777" w:rsidTr="00CD45D8">
        <w:trPr>
          <w:trHeight w:val="284"/>
          <w:jc w:val="center"/>
        </w:trPr>
        <w:tc>
          <w:tcPr>
            <w:tcW w:w="713" w:type="dxa"/>
            <w:tcBorders>
              <w:top w:val="nil"/>
              <w:left w:val="single" w:sz="8" w:space="0" w:color="auto"/>
              <w:bottom w:val="nil"/>
              <w:right w:val="single" w:sz="8" w:space="0" w:color="auto"/>
            </w:tcBorders>
            <w:shd w:val="clear" w:color="auto" w:fill="E7E6E6" w:themeFill="background2"/>
            <w:noWrap/>
            <w:vAlign w:val="bottom"/>
            <w:hideMark/>
          </w:tcPr>
          <w:p w14:paraId="519085A3" w14:textId="77777777" w:rsidR="00B63623" w:rsidRPr="007148A6" w:rsidRDefault="00B63623" w:rsidP="005E08AA">
            <w:pPr>
              <w:spacing w:after="0" w:line="240" w:lineRule="auto"/>
              <w:jc w:val="right"/>
              <w:rPr>
                <w:rFonts w:ascii="Arial" w:eastAsia="Times New Roman" w:hAnsi="Arial" w:cs="Arial"/>
                <w:b/>
                <w:bCs/>
                <w:color w:val="000000"/>
                <w:lang w:eastAsia="es-AR"/>
              </w:rPr>
            </w:pPr>
            <w:r w:rsidRPr="007148A6">
              <w:rPr>
                <w:rFonts w:ascii="Arial" w:eastAsia="Times New Roman" w:hAnsi="Arial" w:cs="Arial"/>
                <w:b/>
                <w:bCs/>
                <w:color w:val="000000"/>
                <w:lang w:eastAsia="es-AR"/>
              </w:rPr>
              <w:t>2013</w:t>
            </w:r>
          </w:p>
        </w:tc>
        <w:tc>
          <w:tcPr>
            <w:tcW w:w="1173" w:type="dxa"/>
            <w:tcBorders>
              <w:top w:val="nil"/>
              <w:left w:val="nil"/>
              <w:bottom w:val="nil"/>
              <w:right w:val="nil"/>
            </w:tcBorders>
            <w:shd w:val="clear" w:color="auto" w:fill="auto"/>
            <w:noWrap/>
            <w:vAlign w:val="center"/>
            <w:hideMark/>
          </w:tcPr>
          <w:p w14:paraId="3063AF95"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805.180</w:t>
            </w:r>
          </w:p>
        </w:tc>
        <w:tc>
          <w:tcPr>
            <w:tcW w:w="1260" w:type="dxa"/>
            <w:tcBorders>
              <w:top w:val="nil"/>
              <w:left w:val="single" w:sz="4" w:space="0" w:color="auto"/>
              <w:bottom w:val="nil"/>
              <w:right w:val="single" w:sz="4" w:space="0" w:color="auto"/>
            </w:tcBorders>
            <w:shd w:val="clear" w:color="auto" w:fill="auto"/>
            <w:noWrap/>
            <w:vAlign w:val="center"/>
            <w:hideMark/>
          </w:tcPr>
          <w:p w14:paraId="7B53BA25"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518.257</w:t>
            </w:r>
          </w:p>
        </w:tc>
        <w:tc>
          <w:tcPr>
            <w:tcW w:w="1260" w:type="dxa"/>
            <w:tcBorders>
              <w:top w:val="nil"/>
              <w:left w:val="nil"/>
              <w:bottom w:val="nil"/>
              <w:right w:val="single" w:sz="4" w:space="0" w:color="auto"/>
            </w:tcBorders>
            <w:shd w:val="clear" w:color="auto" w:fill="auto"/>
            <w:noWrap/>
            <w:vAlign w:val="center"/>
            <w:hideMark/>
          </w:tcPr>
          <w:p w14:paraId="56192789"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111.522</w:t>
            </w:r>
          </w:p>
        </w:tc>
        <w:tc>
          <w:tcPr>
            <w:tcW w:w="1427" w:type="dxa"/>
            <w:tcBorders>
              <w:top w:val="nil"/>
              <w:left w:val="nil"/>
              <w:bottom w:val="nil"/>
              <w:right w:val="nil"/>
            </w:tcBorders>
            <w:shd w:val="clear" w:color="auto" w:fill="auto"/>
            <w:noWrap/>
            <w:vAlign w:val="center"/>
            <w:hideMark/>
          </w:tcPr>
          <w:p w14:paraId="1E0E839F"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1.434.959</w:t>
            </w:r>
          </w:p>
        </w:tc>
        <w:tc>
          <w:tcPr>
            <w:tcW w:w="1101" w:type="dxa"/>
            <w:tcBorders>
              <w:top w:val="nil"/>
              <w:left w:val="single" w:sz="4" w:space="0" w:color="auto"/>
              <w:bottom w:val="nil"/>
              <w:right w:val="single" w:sz="4" w:space="0" w:color="auto"/>
            </w:tcBorders>
            <w:shd w:val="clear" w:color="auto" w:fill="auto"/>
            <w:noWrap/>
            <w:vAlign w:val="bottom"/>
            <w:hideMark/>
          </w:tcPr>
          <w:p w14:paraId="2DDC1DDD"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56,11%</w:t>
            </w:r>
          </w:p>
        </w:tc>
        <w:tc>
          <w:tcPr>
            <w:tcW w:w="1191" w:type="dxa"/>
            <w:tcBorders>
              <w:top w:val="nil"/>
              <w:left w:val="nil"/>
              <w:bottom w:val="nil"/>
              <w:right w:val="nil"/>
            </w:tcBorders>
            <w:shd w:val="clear" w:color="auto" w:fill="auto"/>
            <w:noWrap/>
            <w:vAlign w:val="bottom"/>
            <w:hideMark/>
          </w:tcPr>
          <w:p w14:paraId="70727C7A"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36,12%</w:t>
            </w:r>
          </w:p>
        </w:tc>
        <w:tc>
          <w:tcPr>
            <w:tcW w:w="1287" w:type="dxa"/>
            <w:tcBorders>
              <w:top w:val="nil"/>
              <w:left w:val="single" w:sz="4" w:space="0" w:color="auto"/>
              <w:bottom w:val="nil"/>
              <w:right w:val="single" w:sz="8" w:space="0" w:color="auto"/>
            </w:tcBorders>
            <w:shd w:val="clear" w:color="auto" w:fill="auto"/>
            <w:noWrap/>
            <w:vAlign w:val="bottom"/>
            <w:hideMark/>
          </w:tcPr>
          <w:p w14:paraId="731E4250"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7,77%</w:t>
            </w:r>
          </w:p>
        </w:tc>
      </w:tr>
      <w:tr w:rsidR="00E703B6" w:rsidRPr="007148A6" w14:paraId="73D787C9" w14:textId="77777777" w:rsidTr="00CD45D8">
        <w:trPr>
          <w:trHeight w:val="284"/>
          <w:jc w:val="center"/>
        </w:trPr>
        <w:tc>
          <w:tcPr>
            <w:tcW w:w="713" w:type="dxa"/>
            <w:tcBorders>
              <w:top w:val="nil"/>
              <w:left w:val="single" w:sz="8" w:space="0" w:color="auto"/>
              <w:bottom w:val="nil"/>
              <w:right w:val="single" w:sz="8" w:space="0" w:color="auto"/>
            </w:tcBorders>
            <w:shd w:val="clear" w:color="auto" w:fill="E7E6E6" w:themeFill="background2"/>
            <w:noWrap/>
            <w:vAlign w:val="bottom"/>
            <w:hideMark/>
          </w:tcPr>
          <w:p w14:paraId="1E2F54BB" w14:textId="77777777" w:rsidR="00B63623" w:rsidRPr="007148A6" w:rsidRDefault="00B63623" w:rsidP="005E08AA">
            <w:pPr>
              <w:spacing w:after="0" w:line="240" w:lineRule="auto"/>
              <w:jc w:val="right"/>
              <w:rPr>
                <w:rFonts w:ascii="Arial" w:eastAsia="Times New Roman" w:hAnsi="Arial" w:cs="Arial"/>
                <w:b/>
                <w:bCs/>
                <w:color w:val="000000"/>
                <w:lang w:eastAsia="es-AR"/>
              </w:rPr>
            </w:pPr>
            <w:r w:rsidRPr="007148A6">
              <w:rPr>
                <w:rFonts w:ascii="Arial" w:eastAsia="Times New Roman" w:hAnsi="Arial" w:cs="Arial"/>
                <w:b/>
                <w:bCs/>
                <w:color w:val="000000"/>
                <w:lang w:eastAsia="es-AR"/>
              </w:rPr>
              <w:t>2014</w:t>
            </w:r>
          </w:p>
        </w:tc>
        <w:tc>
          <w:tcPr>
            <w:tcW w:w="1173" w:type="dxa"/>
            <w:tcBorders>
              <w:top w:val="nil"/>
              <w:left w:val="nil"/>
              <w:bottom w:val="nil"/>
              <w:right w:val="nil"/>
            </w:tcBorders>
            <w:shd w:val="clear" w:color="auto" w:fill="auto"/>
            <w:noWrap/>
            <w:vAlign w:val="center"/>
            <w:hideMark/>
          </w:tcPr>
          <w:p w14:paraId="18D250E5"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1.194.778</w:t>
            </w:r>
          </w:p>
        </w:tc>
        <w:tc>
          <w:tcPr>
            <w:tcW w:w="1260" w:type="dxa"/>
            <w:tcBorders>
              <w:top w:val="nil"/>
              <w:left w:val="single" w:sz="4" w:space="0" w:color="auto"/>
              <w:bottom w:val="nil"/>
              <w:right w:val="single" w:sz="4" w:space="0" w:color="auto"/>
            </w:tcBorders>
            <w:shd w:val="clear" w:color="auto" w:fill="auto"/>
            <w:noWrap/>
            <w:vAlign w:val="center"/>
            <w:hideMark/>
          </w:tcPr>
          <w:p w14:paraId="57761531"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712.808</w:t>
            </w:r>
          </w:p>
        </w:tc>
        <w:tc>
          <w:tcPr>
            <w:tcW w:w="1260" w:type="dxa"/>
            <w:tcBorders>
              <w:top w:val="nil"/>
              <w:left w:val="nil"/>
              <w:bottom w:val="nil"/>
              <w:right w:val="single" w:sz="4" w:space="0" w:color="auto"/>
            </w:tcBorders>
            <w:shd w:val="clear" w:color="auto" w:fill="auto"/>
            <w:noWrap/>
            <w:vAlign w:val="center"/>
            <w:hideMark/>
          </w:tcPr>
          <w:p w14:paraId="6817D4E3"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152.103</w:t>
            </w:r>
          </w:p>
        </w:tc>
        <w:tc>
          <w:tcPr>
            <w:tcW w:w="1427" w:type="dxa"/>
            <w:tcBorders>
              <w:top w:val="nil"/>
              <w:left w:val="nil"/>
              <w:bottom w:val="nil"/>
              <w:right w:val="nil"/>
            </w:tcBorders>
            <w:shd w:val="clear" w:color="auto" w:fill="auto"/>
            <w:noWrap/>
            <w:vAlign w:val="center"/>
            <w:hideMark/>
          </w:tcPr>
          <w:p w14:paraId="754EEB5E"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2.059.689</w:t>
            </w:r>
          </w:p>
        </w:tc>
        <w:tc>
          <w:tcPr>
            <w:tcW w:w="1101" w:type="dxa"/>
            <w:tcBorders>
              <w:top w:val="nil"/>
              <w:left w:val="single" w:sz="4" w:space="0" w:color="auto"/>
              <w:bottom w:val="nil"/>
              <w:right w:val="single" w:sz="4" w:space="0" w:color="auto"/>
            </w:tcBorders>
            <w:shd w:val="clear" w:color="auto" w:fill="auto"/>
            <w:noWrap/>
            <w:vAlign w:val="bottom"/>
            <w:hideMark/>
          </w:tcPr>
          <w:p w14:paraId="6FA86C5B"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58,01%</w:t>
            </w:r>
          </w:p>
        </w:tc>
        <w:tc>
          <w:tcPr>
            <w:tcW w:w="1191" w:type="dxa"/>
            <w:tcBorders>
              <w:top w:val="nil"/>
              <w:left w:val="nil"/>
              <w:bottom w:val="nil"/>
              <w:right w:val="nil"/>
            </w:tcBorders>
            <w:shd w:val="clear" w:color="auto" w:fill="auto"/>
            <w:noWrap/>
            <w:vAlign w:val="bottom"/>
            <w:hideMark/>
          </w:tcPr>
          <w:p w14:paraId="2B51DEF6"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34,61%</w:t>
            </w:r>
          </w:p>
        </w:tc>
        <w:tc>
          <w:tcPr>
            <w:tcW w:w="1287" w:type="dxa"/>
            <w:tcBorders>
              <w:top w:val="nil"/>
              <w:left w:val="single" w:sz="4" w:space="0" w:color="auto"/>
              <w:bottom w:val="nil"/>
              <w:right w:val="single" w:sz="8" w:space="0" w:color="auto"/>
            </w:tcBorders>
            <w:shd w:val="clear" w:color="auto" w:fill="auto"/>
            <w:noWrap/>
            <w:vAlign w:val="bottom"/>
            <w:hideMark/>
          </w:tcPr>
          <w:p w14:paraId="7EE35F9A"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7,38%</w:t>
            </w:r>
          </w:p>
        </w:tc>
      </w:tr>
      <w:tr w:rsidR="00E703B6" w:rsidRPr="007148A6" w14:paraId="56102D08" w14:textId="77777777" w:rsidTr="00CD45D8">
        <w:trPr>
          <w:trHeight w:val="284"/>
          <w:jc w:val="center"/>
        </w:trPr>
        <w:tc>
          <w:tcPr>
            <w:tcW w:w="713" w:type="dxa"/>
            <w:tcBorders>
              <w:top w:val="nil"/>
              <w:left w:val="single" w:sz="8" w:space="0" w:color="auto"/>
              <w:bottom w:val="nil"/>
              <w:right w:val="single" w:sz="8" w:space="0" w:color="auto"/>
            </w:tcBorders>
            <w:shd w:val="clear" w:color="auto" w:fill="E7E6E6" w:themeFill="background2"/>
            <w:noWrap/>
            <w:vAlign w:val="bottom"/>
            <w:hideMark/>
          </w:tcPr>
          <w:p w14:paraId="2E811924" w14:textId="77777777" w:rsidR="00B63623" w:rsidRPr="007148A6" w:rsidRDefault="00B63623" w:rsidP="005E08AA">
            <w:pPr>
              <w:spacing w:after="0" w:line="240" w:lineRule="auto"/>
              <w:jc w:val="right"/>
              <w:rPr>
                <w:rFonts w:ascii="Arial" w:eastAsia="Times New Roman" w:hAnsi="Arial" w:cs="Arial"/>
                <w:b/>
                <w:bCs/>
                <w:color w:val="000000"/>
                <w:lang w:eastAsia="es-AR"/>
              </w:rPr>
            </w:pPr>
            <w:r w:rsidRPr="007148A6">
              <w:rPr>
                <w:rFonts w:ascii="Arial" w:eastAsia="Times New Roman" w:hAnsi="Arial" w:cs="Arial"/>
                <w:b/>
                <w:bCs/>
                <w:color w:val="000000"/>
                <w:lang w:eastAsia="es-AR"/>
              </w:rPr>
              <w:t>2015</w:t>
            </w:r>
          </w:p>
        </w:tc>
        <w:tc>
          <w:tcPr>
            <w:tcW w:w="1173" w:type="dxa"/>
            <w:tcBorders>
              <w:top w:val="nil"/>
              <w:left w:val="nil"/>
              <w:bottom w:val="nil"/>
              <w:right w:val="nil"/>
            </w:tcBorders>
            <w:shd w:val="clear" w:color="auto" w:fill="auto"/>
            <w:noWrap/>
            <w:vAlign w:val="center"/>
            <w:hideMark/>
          </w:tcPr>
          <w:p w14:paraId="29AE3BF1"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1.543.603</w:t>
            </w:r>
          </w:p>
        </w:tc>
        <w:tc>
          <w:tcPr>
            <w:tcW w:w="1260" w:type="dxa"/>
            <w:tcBorders>
              <w:top w:val="nil"/>
              <w:left w:val="single" w:sz="4" w:space="0" w:color="auto"/>
              <w:bottom w:val="nil"/>
              <w:right w:val="single" w:sz="4" w:space="0" w:color="auto"/>
            </w:tcBorders>
            <w:shd w:val="clear" w:color="auto" w:fill="auto"/>
            <w:noWrap/>
            <w:vAlign w:val="center"/>
            <w:hideMark/>
          </w:tcPr>
          <w:p w14:paraId="1C3E596E"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1.001.733</w:t>
            </w:r>
          </w:p>
        </w:tc>
        <w:tc>
          <w:tcPr>
            <w:tcW w:w="1260" w:type="dxa"/>
            <w:tcBorders>
              <w:top w:val="nil"/>
              <w:left w:val="nil"/>
              <w:bottom w:val="nil"/>
              <w:right w:val="single" w:sz="4" w:space="0" w:color="auto"/>
            </w:tcBorders>
            <w:shd w:val="clear" w:color="auto" w:fill="auto"/>
            <w:noWrap/>
            <w:vAlign w:val="center"/>
            <w:hideMark/>
          </w:tcPr>
          <w:p w14:paraId="1EF99260"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211.377</w:t>
            </w:r>
          </w:p>
        </w:tc>
        <w:tc>
          <w:tcPr>
            <w:tcW w:w="1427" w:type="dxa"/>
            <w:tcBorders>
              <w:top w:val="nil"/>
              <w:left w:val="nil"/>
              <w:bottom w:val="nil"/>
              <w:right w:val="nil"/>
            </w:tcBorders>
            <w:shd w:val="clear" w:color="auto" w:fill="auto"/>
            <w:noWrap/>
            <w:vAlign w:val="center"/>
            <w:hideMark/>
          </w:tcPr>
          <w:p w14:paraId="6771364D"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2.756.712</w:t>
            </w:r>
          </w:p>
        </w:tc>
        <w:tc>
          <w:tcPr>
            <w:tcW w:w="1101" w:type="dxa"/>
            <w:tcBorders>
              <w:top w:val="nil"/>
              <w:left w:val="single" w:sz="4" w:space="0" w:color="auto"/>
              <w:bottom w:val="nil"/>
              <w:right w:val="single" w:sz="4" w:space="0" w:color="auto"/>
            </w:tcBorders>
            <w:shd w:val="clear" w:color="auto" w:fill="auto"/>
            <w:noWrap/>
            <w:vAlign w:val="bottom"/>
            <w:hideMark/>
          </w:tcPr>
          <w:p w14:paraId="7D3D2879"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55,99%</w:t>
            </w:r>
          </w:p>
        </w:tc>
        <w:tc>
          <w:tcPr>
            <w:tcW w:w="1191" w:type="dxa"/>
            <w:tcBorders>
              <w:top w:val="nil"/>
              <w:left w:val="nil"/>
              <w:bottom w:val="nil"/>
              <w:right w:val="nil"/>
            </w:tcBorders>
            <w:shd w:val="clear" w:color="auto" w:fill="auto"/>
            <w:noWrap/>
            <w:vAlign w:val="bottom"/>
            <w:hideMark/>
          </w:tcPr>
          <w:p w14:paraId="2E469781"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36,34%</w:t>
            </w:r>
          </w:p>
        </w:tc>
        <w:tc>
          <w:tcPr>
            <w:tcW w:w="1287" w:type="dxa"/>
            <w:tcBorders>
              <w:top w:val="nil"/>
              <w:left w:val="single" w:sz="4" w:space="0" w:color="auto"/>
              <w:bottom w:val="nil"/>
              <w:right w:val="single" w:sz="8" w:space="0" w:color="auto"/>
            </w:tcBorders>
            <w:shd w:val="clear" w:color="auto" w:fill="auto"/>
            <w:noWrap/>
            <w:vAlign w:val="bottom"/>
            <w:hideMark/>
          </w:tcPr>
          <w:p w14:paraId="652EF8EB"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7,67%</w:t>
            </w:r>
          </w:p>
        </w:tc>
      </w:tr>
      <w:tr w:rsidR="00E703B6" w:rsidRPr="007148A6" w14:paraId="2516404A" w14:textId="77777777" w:rsidTr="00CD45D8">
        <w:trPr>
          <w:trHeight w:val="284"/>
          <w:jc w:val="center"/>
        </w:trPr>
        <w:tc>
          <w:tcPr>
            <w:tcW w:w="713" w:type="dxa"/>
            <w:tcBorders>
              <w:top w:val="nil"/>
              <w:left w:val="single" w:sz="8" w:space="0" w:color="auto"/>
              <w:bottom w:val="nil"/>
              <w:right w:val="single" w:sz="8" w:space="0" w:color="auto"/>
            </w:tcBorders>
            <w:shd w:val="clear" w:color="auto" w:fill="E7E6E6" w:themeFill="background2"/>
            <w:noWrap/>
            <w:vAlign w:val="bottom"/>
            <w:hideMark/>
          </w:tcPr>
          <w:p w14:paraId="459C67B2" w14:textId="77777777" w:rsidR="00B63623" w:rsidRPr="007148A6" w:rsidRDefault="00B63623" w:rsidP="005E08AA">
            <w:pPr>
              <w:spacing w:after="0" w:line="240" w:lineRule="auto"/>
              <w:jc w:val="right"/>
              <w:rPr>
                <w:rFonts w:ascii="Arial" w:eastAsia="Times New Roman" w:hAnsi="Arial" w:cs="Arial"/>
                <w:b/>
                <w:bCs/>
                <w:color w:val="000000"/>
                <w:lang w:eastAsia="es-AR"/>
              </w:rPr>
            </w:pPr>
            <w:r w:rsidRPr="007148A6">
              <w:rPr>
                <w:rFonts w:ascii="Arial" w:eastAsia="Times New Roman" w:hAnsi="Arial" w:cs="Arial"/>
                <w:b/>
                <w:bCs/>
                <w:color w:val="000000"/>
                <w:lang w:eastAsia="es-AR"/>
              </w:rPr>
              <w:t>2016</w:t>
            </w:r>
          </w:p>
        </w:tc>
        <w:tc>
          <w:tcPr>
            <w:tcW w:w="1173" w:type="dxa"/>
            <w:tcBorders>
              <w:top w:val="nil"/>
              <w:left w:val="nil"/>
              <w:bottom w:val="nil"/>
              <w:right w:val="nil"/>
            </w:tcBorders>
            <w:shd w:val="clear" w:color="auto" w:fill="auto"/>
            <w:noWrap/>
            <w:vAlign w:val="center"/>
            <w:hideMark/>
          </w:tcPr>
          <w:p w14:paraId="1C42DEB3"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2.251.148</w:t>
            </w:r>
          </w:p>
        </w:tc>
        <w:tc>
          <w:tcPr>
            <w:tcW w:w="1260" w:type="dxa"/>
            <w:tcBorders>
              <w:top w:val="nil"/>
              <w:left w:val="single" w:sz="4" w:space="0" w:color="auto"/>
              <w:bottom w:val="nil"/>
              <w:right w:val="single" w:sz="4" w:space="0" w:color="auto"/>
            </w:tcBorders>
            <w:shd w:val="clear" w:color="auto" w:fill="auto"/>
            <w:noWrap/>
            <w:vAlign w:val="center"/>
            <w:hideMark/>
          </w:tcPr>
          <w:p w14:paraId="4C6633FF"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1.370.538</w:t>
            </w:r>
          </w:p>
        </w:tc>
        <w:tc>
          <w:tcPr>
            <w:tcW w:w="1260" w:type="dxa"/>
            <w:tcBorders>
              <w:top w:val="nil"/>
              <w:left w:val="nil"/>
              <w:bottom w:val="nil"/>
              <w:right w:val="single" w:sz="4" w:space="0" w:color="auto"/>
            </w:tcBorders>
            <w:shd w:val="clear" w:color="auto" w:fill="auto"/>
            <w:noWrap/>
            <w:vAlign w:val="center"/>
            <w:hideMark/>
          </w:tcPr>
          <w:p w14:paraId="07E5959B"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270.355</w:t>
            </w:r>
          </w:p>
        </w:tc>
        <w:tc>
          <w:tcPr>
            <w:tcW w:w="1427" w:type="dxa"/>
            <w:tcBorders>
              <w:top w:val="nil"/>
              <w:left w:val="nil"/>
              <w:bottom w:val="nil"/>
              <w:right w:val="nil"/>
            </w:tcBorders>
            <w:shd w:val="clear" w:color="auto" w:fill="auto"/>
            <w:noWrap/>
            <w:vAlign w:val="center"/>
            <w:hideMark/>
          </w:tcPr>
          <w:p w14:paraId="0DA9183B"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3.892.041</w:t>
            </w:r>
          </w:p>
        </w:tc>
        <w:tc>
          <w:tcPr>
            <w:tcW w:w="1101" w:type="dxa"/>
            <w:tcBorders>
              <w:top w:val="nil"/>
              <w:left w:val="single" w:sz="4" w:space="0" w:color="auto"/>
              <w:bottom w:val="nil"/>
              <w:right w:val="single" w:sz="4" w:space="0" w:color="auto"/>
            </w:tcBorders>
            <w:shd w:val="clear" w:color="auto" w:fill="auto"/>
            <w:noWrap/>
            <w:vAlign w:val="bottom"/>
            <w:hideMark/>
          </w:tcPr>
          <w:p w14:paraId="2B133666"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57,84%</w:t>
            </w:r>
          </w:p>
        </w:tc>
        <w:tc>
          <w:tcPr>
            <w:tcW w:w="1191" w:type="dxa"/>
            <w:tcBorders>
              <w:top w:val="nil"/>
              <w:left w:val="nil"/>
              <w:bottom w:val="nil"/>
              <w:right w:val="nil"/>
            </w:tcBorders>
            <w:shd w:val="clear" w:color="auto" w:fill="auto"/>
            <w:noWrap/>
            <w:vAlign w:val="bottom"/>
            <w:hideMark/>
          </w:tcPr>
          <w:p w14:paraId="1B1AABEB"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35,21%</w:t>
            </w:r>
          </w:p>
        </w:tc>
        <w:tc>
          <w:tcPr>
            <w:tcW w:w="1287" w:type="dxa"/>
            <w:tcBorders>
              <w:top w:val="nil"/>
              <w:left w:val="single" w:sz="4" w:space="0" w:color="auto"/>
              <w:bottom w:val="nil"/>
              <w:right w:val="single" w:sz="8" w:space="0" w:color="auto"/>
            </w:tcBorders>
            <w:shd w:val="clear" w:color="auto" w:fill="auto"/>
            <w:noWrap/>
            <w:vAlign w:val="bottom"/>
            <w:hideMark/>
          </w:tcPr>
          <w:p w14:paraId="69420713"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6,95%</w:t>
            </w:r>
          </w:p>
        </w:tc>
      </w:tr>
      <w:tr w:rsidR="00E703B6" w:rsidRPr="007148A6" w14:paraId="057E729E" w14:textId="77777777" w:rsidTr="00CD45D8">
        <w:trPr>
          <w:trHeight w:val="299"/>
          <w:jc w:val="center"/>
        </w:trPr>
        <w:tc>
          <w:tcPr>
            <w:tcW w:w="713" w:type="dxa"/>
            <w:tcBorders>
              <w:top w:val="nil"/>
              <w:left w:val="single" w:sz="8" w:space="0" w:color="auto"/>
              <w:bottom w:val="single" w:sz="8" w:space="0" w:color="auto"/>
              <w:right w:val="single" w:sz="8" w:space="0" w:color="auto"/>
            </w:tcBorders>
            <w:shd w:val="clear" w:color="auto" w:fill="E7E6E6" w:themeFill="background2"/>
            <w:noWrap/>
            <w:vAlign w:val="bottom"/>
            <w:hideMark/>
          </w:tcPr>
          <w:p w14:paraId="61AD2F4C" w14:textId="77777777" w:rsidR="00B63623" w:rsidRPr="007148A6" w:rsidRDefault="00B63623" w:rsidP="005E08AA">
            <w:pPr>
              <w:spacing w:after="0" w:line="240" w:lineRule="auto"/>
              <w:jc w:val="right"/>
              <w:rPr>
                <w:rFonts w:ascii="Arial" w:eastAsia="Times New Roman" w:hAnsi="Arial" w:cs="Arial"/>
                <w:b/>
                <w:bCs/>
                <w:color w:val="000000"/>
                <w:lang w:eastAsia="es-AR"/>
              </w:rPr>
            </w:pPr>
            <w:r w:rsidRPr="007148A6">
              <w:rPr>
                <w:rFonts w:ascii="Arial" w:eastAsia="Times New Roman" w:hAnsi="Arial" w:cs="Arial"/>
                <w:b/>
                <w:bCs/>
                <w:color w:val="000000"/>
                <w:lang w:eastAsia="es-AR"/>
              </w:rPr>
              <w:t>2017</w:t>
            </w:r>
          </w:p>
        </w:tc>
        <w:tc>
          <w:tcPr>
            <w:tcW w:w="1173" w:type="dxa"/>
            <w:tcBorders>
              <w:top w:val="nil"/>
              <w:left w:val="nil"/>
              <w:bottom w:val="single" w:sz="8" w:space="0" w:color="auto"/>
              <w:right w:val="nil"/>
            </w:tcBorders>
            <w:shd w:val="clear" w:color="auto" w:fill="auto"/>
            <w:noWrap/>
            <w:vAlign w:val="center"/>
            <w:hideMark/>
          </w:tcPr>
          <w:p w14:paraId="4BFC5D56"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2.741.553</w:t>
            </w:r>
          </w:p>
        </w:tc>
        <w:tc>
          <w:tcPr>
            <w:tcW w:w="1260" w:type="dxa"/>
            <w:tcBorders>
              <w:top w:val="nil"/>
              <w:left w:val="single" w:sz="4" w:space="0" w:color="auto"/>
              <w:bottom w:val="single" w:sz="8" w:space="0" w:color="auto"/>
              <w:right w:val="single" w:sz="4" w:space="0" w:color="auto"/>
            </w:tcBorders>
            <w:shd w:val="clear" w:color="auto" w:fill="auto"/>
            <w:noWrap/>
            <w:vAlign w:val="center"/>
            <w:hideMark/>
          </w:tcPr>
          <w:p w14:paraId="2B958735"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1.824.430</w:t>
            </w:r>
          </w:p>
        </w:tc>
        <w:tc>
          <w:tcPr>
            <w:tcW w:w="1260" w:type="dxa"/>
            <w:tcBorders>
              <w:top w:val="nil"/>
              <w:left w:val="nil"/>
              <w:bottom w:val="single" w:sz="8" w:space="0" w:color="auto"/>
              <w:right w:val="single" w:sz="4" w:space="0" w:color="auto"/>
            </w:tcBorders>
            <w:shd w:val="clear" w:color="auto" w:fill="auto"/>
            <w:noWrap/>
            <w:vAlign w:val="center"/>
            <w:hideMark/>
          </w:tcPr>
          <w:p w14:paraId="2270C35D"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362.836</w:t>
            </w:r>
          </w:p>
        </w:tc>
        <w:tc>
          <w:tcPr>
            <w:tcW w:w="1427" w:type="dxa"/>
            <w:tcBorders>
              <w:top w:val="nil"/>
              <w:left w:val="nil"/>
              <w:bottom w:val="single" w:sz="8" w:space="0" w:color="auto"/>
              <w:right w:val="nil"/>
            </w:tcBorders>
            <w:shd w:val="clear" w:color="auto" w:fill="auto"/>
            <w:noWrap/>
            <w:vAlign w:val="center"/>
            <w:hideMark/>
          </w:tcPr>
          <w:p w14:paraId="5B0388B9" w14:textId="77777777" w:rsidR="00B63623" w:rsidRPr="007148A6" w:rsidRDefault="00B63623" w:rsidP="005E08AA">
            <w:pPr>
              <w:spacing w:after="0" w:line="240" w:lineRule="auto"/>
              <w:jc w:val="center"/>
              <w:rPr>
                <w:rFonts w:ascii="Arial" w:eastAsia="Times New Roman" w:hAnsi="Arial" w:cs="Arial"/>
                <w:lang w:eastAsia="es-AR"/>
              </w:rPr>
            </w:pPr>
            <w:r w:rsidRPr="007148A6">
              <w:rPr>
                <w:rFonts w:ascii="Arial" w:eastAsia="Times New Roman" w:hAnsi="Arial" w:cs="Arial"/>
                <w:lang w:eastAsia="es-AR"/>
              </w:rPr>
              <w:t>4.928.819</w:t>
            </w:r>
          </w:p>
        </w:tc>
        <w:tc>
          <w:tcPr>
            <w:tcW w:w="1101" w:type="dxa"/>
            <w:tcBorders>
              <w:top w:val="nil"/>
              <w:left w:val="single" w:sz="4" w:space="0" w:color="auto"/>
              <w:bottom w:val="single" w:sz="8" w:space="0" w:color="auto"/>
              <w:right w:val="single" w:sz="4" w:space="0" w:color="auto"/>
            </w:tcBorders>
            <w:shd w:val="clear" w:color="auto" w:fill="auto"/>
            <w:noWrap/>
            <w:vAlign w:val="bottom"/>
            <w:hideMark/>
          </w:tcPr>
          <w:p w14:paraId="31A0F50E"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55,62%</w:t>
            </w:r>
          </w:p>
        </w:tc>
        <w:tc>
          <w:tcPr>
            <w:tcW w:w="1191" w:type="dxa"/>
            <w:tcBorders>
              <w:top w:val="nil"/>
              <w:left w:val="nil"/>
              <w:bottom w:val="single" w:sz="8" w:space="0" w:color="auto"/>
              <w:right w:val="nil"/>
            </w:tcBorders>
            <w:shd w:val="clear" w:color="auto" w:fill="auto"/>
            <w:noWrap/>
            <w:vAlign w:val="bottom"/>
            <w:hideMark/>
          </w:tcPr>
          <w:p w14:paraId="06E5D762"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37,02%</w:t>
            </w:r>
          </w:p>
        </w:tc>
        <w:tc>
          <w:tcPr>
            <w:tcW w:w="1287" w:type="dxa"/>
            <w:tcBorders>
              <w:top w:val="nil"/>
              <w:left w:val="single" w:sz="4" w:space="0" w:color="auto"/>
              <w:bottom w:val="single" w:sz="8" w:space="0" w:color="auto"/>
              <w:right w:val="single" w:sz="8" w:space="0" w:color="auto"/>
            </w:tcBorders>
            <w:shd w:val="clear" w:color="auto" w:fill="auto"/>
            <w:noWrap/>
            <w:vAlign w:val="bottom"/>
            <w:hideMark/>
          </w:tcPr>
          <w:p w14:paraId="3A846E0B" w14:textId="77777777" w:rsidR="00B63623" w:rsidRPr="007148A6" w:rsidRDefault="00B63623" w:rsidP="005E08AA">
            <w:pPr>
              <w:spacing w:after="0" w:line="240" w:lineRule="auto"/>
              <w:jc w:val="right"/>
              <w:rPr>
                <w:rFonts w:ascii="Arial" w:eastAsia="Times New Roman" w:hAnsi="Arial" w:cs="Arial"/>
                <w:color w:val="000000"/>
                <w:lang w:eastAsia="es-AR"/>
              </w:rPr>
            </w:pPr>
            <w:r w:rsidRPr="007148A6">
              <w:rPr>
                <w:rFonts w:ascii="Arial" w:eastAsia="Times New Roman" w:hAnsi="Arial" w:cs="Arial"/>
                <w:color w:val="000000"/>
                <w:lang w:eastAsia="es-AR"/>
              </w:rPr>
              <w:t>7,36%</w:t>
            </w:r>
          </w:p>
        </w:tc>
      </w:tr>
      <w:tr w:rsidR="00B63623" w:rsidRPr="007148A6" w14:paraId="15F4469A" w14:textId="77777777" w:rsidTr="00372043">
        <w:trPr>
          <w:trHeight w:val="284"/>
          <w:jc w:val="center"/>
        </w:trPr>
        <w:tc>
          <w:tcPr>
            <w:tcW w:w="9415" w:type="dxa"/>
            <w:gridSpan w:val="8"/>
            <w:tcBorders>
              <w:top w:val="nil"/>
              <w:left w:val="nil"/>
              <w:bottom w:val="nil"/>
              <w:right w:val="nil"/>
            </w:tcBorders>
            <w:shd w:val="clear" w:color="auto" w:fill="auto"/>
            <w:noWrap/>
            <w:vAlign w:val="bottom"/>
            <w:hideMark/>
          </w:tcPr>
          <w:p w14:paraId="5EFFC9F9" w14:textId="77777777" w:rsidR="00B63623" w:rsidRPr="007148A6" w:rsidRDefault="00B63623" w:rsidP="005E08AA">
            <w:pPr>
              <w:spacing w:after="0" w:line="240" w:lineRule="auto"/>
              <w:jc w:val="center"/>
              <w:rPr>
                <w:rFonts w:ascii="Arial" w:eastAsia="Times New Roman" w:hAnsi="Arial" w:cs="Arial"/>
                <w:color w:val="000000"/>
                <w:lang w:eastAsia="es-AR"/>
              </w:rPr>
            </w:pPr>
            <w:r w:rsidRPr="004860F2">
              <w:rPr>
                <w:rFonts w:ascii="Arial" w:eastAsia="Times New Roman" w:hAnsi="Arial" w:cs="Arial"/>
                <w:color w:val="000000"/>
                <w:sz w:val="18"/>
                <w:szCs w:val="18"/>
                <w:lang w:eastAsia="es-AR"/>
              </w:rPr>
              <w:t>Fuente: Elaboración Propia en base a datos provenientes de la Secretaría de Política Económica</w:t>
            </w:r>
            <w:r w:rsidRPr="007148A6">
              <w:rPr>
                <w:rFonts w:ascii="Arial" w:eastAsia="Times New Roman" w:hAnsi="Arial" w:cs="Arial"/>
                <w:color w:val="000000"/>
                <w:lang w:eastAsia="es-AR"/>
              </w:rPr>
              <w:t>.</w:t>
            </w:r>
          </w:p>
        </w:tc>
      </w:tr>
    </w:tbl>
    <w:p w14:paraId="23AA359E" w14:textId="1D80DEE1" w:rsidR="00EB334B" w:rsidRPr="007148A6" w:rsidRDefault="00EB334B" w:rsidP="008A535A">
      <w:pPr>
        <w:spacing w:before="240"/>
        <w:jc w:val="both"/>
        <w:rPr>
          <w:rFonts w:ascii="Arial" w:hAnsi="Arial" w:cs="Arial"/>
        </w:rPr>
      </w:pPr>
      <w:r w:rsidRPr="007148A6">
        <w:rPr>
          <w:rFonts w:ascii="Arial" w:hAnsi="Arial" w:cs="Arial"/>
        </w:rPr>
        <w:t>En el Cuadro 3 se muestra la distribución del gasto nacional (corriente y de capital) entre las distintas jurisdicciones. Como puede observarse, alrededor del 70% del total del gasto total es posible asignarlo geográficamente a las distintas jurisdicciones. El resto se distribuye entre gasto interprovincial, nacional, binacional y no clasificado.</w:t>
      </w:r>
    </w:p>
    <w:p w14:paraId="53D7AAF1" w14:textId="0732F600" w:rsidR="00EB334B" w:rsidRPr="007148A6" w:rsidRDefault="00EB334B" w:rsidP="008805DA">
      <w:pPr>
        <w:jc w:val="both"/>
        <w:rPr>
          <w:rFonts w:ascii="Arial" w:hAnsi="Arial" w:cs="Arial"/>
        </w:rPr>
      </w:pPr>
      <w:r w:rsidRPr="007148A6">
        <w:rPr>
          <w:rFonts w:ascii="Arial" w:hAnsi="Arial" w:cs="Arial"/>
        </w:rPr>
        <w:t xml:space="preserve">Del gasto del gobierno nacional que puede asignarse geográficamente, más del 50% del mismo se vuelca en dos jurisdicciones, la Ciudad de Buenos Aires y la Provincia de Buenos Aires, lo cual deriva de que la primera es sede del gobierno federal y en la segunda están radicadas gran parte de los servicios atendidos por el gobierno federal (Defensa, entre otros). </w:t>
      </w:r>
    </w:p>
    <w:p w14:paraId="49141107" w14:textId="77777777" w:rsidR="00226888" w:rsidRPr="007148A6" w:rsidRDefault="00226888" w:rsidP="008805DA">
      <w:pPr>
        <w:jc w:val="both"/>
        <w:rPr>
          <w:rFonts w:ascii="Arial" w:hAnsi="Arial" w:cs="Arial"/>
        </w:rPr>
      </w:pPr>
    </w:p>
    <w:tbl>
      <w:tblPr>
        <w:tblW w:w="9434" w:type="dxa"/>
        <w:jc w:val="center"/>
        <w:tblCellMar>
          <w:left w:w="70" w:type="dxa"/>
          <w:right w:w="70" w:type="dxa"/>
        </w:tblCellMar>
        <w:tblLook w:val="04A0" w:firstRow="1" w:lastRow="0" w:firstColumn="1" w:lastColumn="0" w:noHBand="0" w:noVBand="1"/>
      </w:tblPr>
      <w:tblGrid>
        <w:gridCol w:w="1550"/>
        <w:gridCol w:w="1854"/>
        <w:gridCol w:w="1855"/>
        <w:gridCol w:w="1855"/>
        <w:gridCol w:w="778"/>
        <w:gridCol w:w="769"/>
        <w:gridCol w:w="773"/>
      </w:tblGrid>
      <w:tr w:rsidR="000D2E47" w:rsidRPr="007148A6" w14:paraId="5F0DCB45" w14:textId="77777777" w:rsidTr="004860F2">
        <w:trPr>
          <w:trHeight w:val="187"/>
          <w:jc w:val="center"/>
        </w:trPr>
        <w:tc>
          <w:tcPr>
            <w:tcW w:w="9434" w:type="dxa"/>
            <w:gridSpan w:val="7"/>
            <w:tcBorders>
              <w:top w:val="single" w:sz="8" w:space="0" w:color="auto"/>
              <w:left w:val="single" w:sz="8" w:space="0" w:color="auto"/>
              <w:bottom w:val="single" w:sz="4" w:space="0" w:color="auto"/>
              <w:right w:val="single" w:sz="8" w:space="0" w:color="000000"/>
            </w:tcBorders>
            <w:shd w:val="clear" w:color="auto" w:fill="E7E6E6" w:themeFill="background2"/>
            <w:noWrap/>
            <w:vAlign w:val="bottom"/>
            <w:hideMark/>
          </w:tcPr>
          <w:p w14:paraId="10E93E75" w14:textId="71A474E1" w:rsidR="000D2E47" w:rsidRPr="004860F2" w:rsidRDefault="00B63623" w:rsidP="00E50C17">
            <w:pPr>
              <w:spacing w:before="60" w:after="60" w:line="240" w:lineRule="auto"/>
              <w:jc w:val="center"/>
              <w:rPr>
                <w:rFonts w:ascii="Arial" w:hAnsi="Arial" w:cs="Arial"/>
                <w:b/>
                <w:bCs/>
                <w:sz w:val="20"/>
                <w:szCs w:val="20"/>
              </w:rPr>
            </w:pPr>
            <w:r w:rsidRPr="004860F2">
              <w:rPr>
                <w:rFonts w:ascii="Arial" w:hAnsi="Arial" w:cs="Arial"/>
                <w:sz w:val="20"/>
                <w:szCs w:val="20"/>
              </w:rPr>
              <w:lastRenderedPageBreak/>
              <w:br w:type="page"/>
            </w:r>
            <w:r w:rsidR="000D2E47" w:rsidRPr="004860F2">
              <w:rPr>
                <w:rFonts w:ascii="Arial" w:hAnsi="Arial" w:cs="Arial"/>
                <w:b/>
                <w:bCs/>
                <w:sz w:val="20"/>
                <w:szCs w:val="20"/>
              </w:rPr>
              <w:t xml:space="preserve">Cuadro </w:t>
            </w:r>
            <w:r w:rsidRPr="004860F2">
              <w:rPr>
                <w:rFonts w:ascii="Arial" w:hAnsi="Arial" w:cs="Arial"/>
                <w:b/>
                <w:bCs/>
                <w:sz w:val="20"/>
                <w:szCs w:val="20"/>
              </w:rPr>
              <w:t>3</w:t>
            </w:r>
            <w:r w:rsidR="000D2E47" w:rsidRPr="004860F2">
              <w:rPr>
                <w:rFonts w:ascii="Arial" w:hAnsi="Arial" w:cs="Arial"/>
                <w:b/>
                <w:bCs/>
                <w:sz w:val="20"/>
                <w:szCs w:val="20"/>
              </w:rPr>
              <w:br/>
              <w:t>ADMINISTRACIÓN NACIONAL - COMPOSICIÓN DEL GASTO POR UBICACIÓN GEOGRÁFICA</w:t>
            </w:r>
          </w:p>
        </w:tc>
      </w:tr>
      <w:tr w:rsidR="00862378" w:rsidRPr="004860F2" w14:paraId="739FDA35" w14:textId="77777777" w:rsidTr="004860F2">
        <w:trPr>
          <w:trHeight w:val="496"/>
          <w:jc w:val="center"/>
        </w:trPr>
        <w:tc>
          <w:tcPr>
            <w:tcW w:w="1550"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2F3BFBD2" w14:textId="77777777" w:rsidR="000D2E47" w:rsidRPr="004860F2" w:rsidRDefault="000D2E47" w:rsidP="00E50C17">
            <w:pPr>
              <w:spacing w:before="60" w:after="60" w:line="240" w:lineRule="auto"/>
              <w:jc w:val="center"/>
              <w:rPr>
                <w:rFonts w:ascii="Arial" w:hAnsi="Arial" w:cs="Arial"/>
                <w:b/>
                <w:bCs/>
                <w:sz w:val="20"/>
                <w:szCs w:val="20"/>
              </w:rPr>
            </w:pPr>
            <w:r w:rsidRPr="004860F2">
              <w:rPr>
                <w:rFonts w:ascii="Arial" w:hAnsi="Arial" w:cs="Arial"/>
                <w:b/>
                <w:bCs/>
                <w:sz w:val="20"/>
                <w:szCs w:val="20"/>
              </w:rPr>
              <w:t>UBICACIÓN</w:t>
            </w:r>
          </w:p>
        </w:tc>
        <w:tc>
          <w:tcPr>
            <w:tcW w:w="1854" w:type="dxa"/>
            <w:tcBorders>
              <w:top w:val="nil"/>
              <w:left w:val="nil"/>
              <w:bottom w:val="single" w:sz="4" w:space="0" w:color="auto"/>
              <w:right w:val="single" w:sz="4" w:space="0" w:color="auto"/>
            </w:tcBorders>
            <w:shd w:val="clear" w:color="auto" w:fill="E7E6E6" w:themeFill="background2"/>
            <w:noWrap/>
            <w:vAlign w:val="bottom"/>
            <w:hideMark/>
          </w:tcPr>
          <w:p w14:paraId="2B387464" w14:textId="77777777" w:rsidR="000D2E47" w:rsidRPr="004860F2" w:rsidRDefault="000D2E47" w:rsidP="00E50C17">
            <w:pPr>
              <w:spacing w:before="60" w:after="60" w:line="240" w:lineRule="auto"/>
              <w:jc w:val="center"/>
              <w:rPr>
                <w:rFonts w:ascii="Arial" w:hAnsi="Arial" w:cs="Arial"/>
                <w:b/>
                <w:bCs/>
                <w:sz w:val="20"/>
                <w:szCs w:val="20"/>
              </w:rPr>
            </w:pPr>
            <w:r w:rsidRPr="004860F2">
              <w:rPr>
                <w:rFonts w:ascii="Arial" w:hAnsi="Arial" w:cs="Arial"/>
                <w:b/>
                <w:bCs/>
                <w:sz w:val="20"/>
                <w:szCs w:val="20"/>
              </w:rPr>
              <w:t>2018 ($)</w:t>
            </w:r>
          </w:p>
        </w:tc>
        <w:tc>
          <w:tcPr>
            <w:tcW w:w="1855" w:type="dxa"/>
            <w:tcBorders>
              <w:top w:val="nil"/>
              <w:left w:val="nil"/>
              <w:bottom w:val="single" w:sz="4" w:space="0" w:color="auto"/>
              <w:right w:val="single" w:sz="4" w:space="0" w:color="auto"/>
            </w:tcBorders>
            <w:shd w:val="clear" w:color="auto" w:fill="E7E6E6" w:themeFill="background2"/>
            <w:noWrap/>
            <w:vAlign w:val="bottom"/>
            <w:hideMark/>
          </w:tcPr>
          <w:p w14:paraId="2FD5F6A6" w14:textId="77777777" w:rsidR="000D2E47" w:rsidRPr="004860F2" w:rsidRDefault="000D2E47" w:rsidP="00E50C17">
            <w:pPr>
              <w:spacing w:before="60" w:after="60" w:line="240" w:lineRule="auto"/>
              <w:jc w:val="center"/>
              <w:rPr>
                <w:rFonts w:ascii="Arial" w:hAnsi="Arial" w:cs="Arial"/>
                <w:b/>
                <w:bCs/>
                <w:sz w:val="20"/>
                <w:szCs w:val="20"/>
              </w:rPr>
            </w:pPr>
            <w:r w:rsidRPr="004860F2">
              <w:rPr>
                <w:rFonts w:ascii="Arial" w:hAnsi="Arial" w:cs="Arial"/>
                <w:b/>
                <w:bCs/>
                <w:sz w:val="20"/>
                <w:szCs w:val="20"/>
              </w:rPr>
              <w:t>2019 ($)</w:t>
            </w:r>
          </w:p>
        </w:tc>
        <w:tc>
          <w:tcPr>
            <w:tcW w:w="1855" w:type="dxa"/>
            <w:tcBorders>
              <w:top w:val="nil"/>
              <w:left w:val="nil"/>
              <w:bottom w:val="single" w:sz="4" w:space="0" w:color="auto"/>
              <w:right w:val="single" w:sz="4" w:space="0" w:color="auto"/>
            </w:tcBorders>
            <w:shd w:val="clear" w:color="auto" w:fill="E7E6E6" w:themeFill="background2"/>
            <w:noWrap/>
            <w:vAlign w:val="bottom"/>
            <w:hideMark/>
          </w:tcPr>
          <w:p w14:paraId="3E63FB5F" w14:textId="77777777" w:rsidR="000D2E47" w:rsidRPr="004860F2" w:rsidRDefault="000D2E47" w:rsidP="00E50C17">
            <w:pPr>
              <w:spacing w:before="60" w:after="60" w:line="240" w:lineRule="auto"/>
              <w:jc w:val="center"/>
              <w:rPr>
                <w:rFonts w:ascii="Arial" w:hAnsi="Arial" w:cs="Arial"/>
                <w:b/>
                <w:bCs/>
                <w:sz w:val="20"/>
                <w:szCs w:val="20"/>
              </w:rPr>
            </w:pPr>
            <w:r w:rsidRPr="004860F2">
              <w:rPr>
                <w:rFonts w:ascii="Arial" w:hAnsi="Arial" w:cs="Arial"/>
                <w:b/>
                <w:bCs/>
                <w:sz w:val="20"/>
                <w:szCs w:val="20"/>
              </w:rPr>
              <w:t>2020 ($)</w:t>
            </w:r>
          </w:p>
        </w:tc>
        <w:tc>
          <w:tcPr>
            <w:tcW w:w="778" w:type="dxa"/>
            <w:tcBorders>
              <w:top w:val="nil"/>
              <w:left w:val="nil"/>
              <w:bottom w:val="single" w:sz="4" w:space="0" w:color="auto"/>
              <w:right w:val="single" w:sz="4" w:space="0" w:color="auto"/>
            </w:tcBorders>
            <w:shd w:val="clear" w:color="auto" w:fill="E7E6E6" w:themeFill="background2"/>
            <w:noWrap/>
            <w:vAlign w:val="bottom"/>
            <w:hideMark/>
          </w:tcPr>
          <w:p w14:paraId="1CAF46C7" w14:textId="77777777" w:rsidR="000D2E47" w:rsidRPr="004860F2" w:rsidRDefault="000D2E47" w:rsidP="00E50C17">
            <w:pPr>
              <w:spacing w:before="60" w:after="60" w:line="240" w:lineRule="auto"/>
              <w:jc w:val="center"/>
              <w:rPr>
                <w:rFonts w:ascii="Arial" w:hAnsi="Arial" w:cs="Arial"/>
                <w:b/>
                <w:bCs/>
                <w:sz w:val="20"/>
                <w:szCs w:val="20"/>
              </w:rPr>
            </w:pPr>
            <w:r w:rsidRPr="004860F2">
              <w:rPr>
                <w:rFonts w:ascii="Arial" w:hAnsi="Arial" w:cs="Arial"/>
                <w:b/>
                <w:bCs/>
                <w:sz w:val="20"/>
                <w:szCs w:val="20"/>
              </w:rPr>
              <w:t>2018 (%)</w:t>
            </w:r>
          </w:p>
        </w:tc>
        <w:tc>
          <w:tcPr>
            <w:tcW w:w="769" w:type="dxa"/>
            <w:tcBorders>
              <w:top w:val="nil"/>
              <w:left w:val="nil"/>
              <w:bottom w:val="single" w:sz="4" w:space="0" w:color="auto"/>
              <w:right w:val="single" w:sz="4" w:space="0" w:color="auto"/>
            </w:tcBorders>
            <w:shd w:val="clear" w:color="auto" w:fill="E7E6E6" w:themeFill="background2"/>
            <w:noWrap/>
            <w:vAlign w:val="bottom"/>
            <w:hideMark/>
          </w:tcPr>
          <w:p w14:paraId="0B3AFCEA" w14:textId="77777777" w:rsidR="000D2E47" w:rsidRPr="004860F2" w:rsidRDefault="000D2E47" w:rsidP="00E50C17">
            <w:pPr>
              <w:spacing w:before="60" w:after="60" w:line="240" w:lineRule="auto"/>
              <w:jc w:val="center"/>
              <w:rPr>
                <w:rFonts w:ascii="Arial" w:hAnsi="Arial" w:cs="Arial"/>
                <w:b/>
                <w:bCs/>
                <w:sz w:val="20"/>
                <w:szCs w:val="20"/>
              </w:rPr>
            </w:pPr>
            <w:r w:rsidRPr="004860F2">
              <w:rPr>
                <w:rFonts w:ascii="Arial" w:hAnsi="Arial" w:cs="Arial"/>
                <w:b/>
                <w:bCs/>
                <w:sz w:val="20"/>
                <w:szCs w:val="20"/>
              </w:rPr>
              <w:t>2019 (%)</w:t>
            </w:r>
          </w:p>
        </w:tc>
        <w:tc>
          <w:tcPr>
            <w:tcW w:w="769" w:type="dxa"/>
            <w:tcBorders>
              <w:top w:val="nil"/>
              <w:left w:val="nil"/>
              <w:bottom w:val="single" w:sz="4" w:space="0" w:color="auto"/>
              <w:right w:val="single" w:sz="8" w:space="0" w:color="auto"/>
            </w:tcBorders>
            <w:shd w:val="clear" w:color="auto" w:fill="E7E6E6" w:themeFill="background2"/>
            <w:noWrap/>
            <w:vAlign w:val="bottom"/>
            <w:hideMark/>
          </w:tcPr>
          <w:p w14:paraId="71054E75" w14:textId="77777777" w:rsidR="000D2E47" w:rsidRPr="004860F2" w:rsidRDefault="000D2E47" w:rsidP="00E50C17">
            <w:pPr>
              <w:spacing w:before="60" w:after="60" w:line="240" w:lineRule="auto"/>
              <w:jc w:val="center"/>
              <w:rPr>
                <w:rFonts w:ascii="Arial" w:hAnsi="Arial" w:cs="Arial"/>
                <w:b/>
                <w:bCs/>
                <w:sz w:val="20"/>
                <w:szCs w:val="20"/>
              </w:rPr>
            </w:pPr>
            <w:r w:rsidRPr="004860F2">
              <w:rPr>
                <w:rFonts w:ascii="Arial" w:hAnsi="Arial" w:cs="Arial"/>
                <w:b/>
                <w:bCs/>
                <w:sz w:val="20"/>
                <w:szCs w:val="20"/>
              </w:rPr>
              <w:t>2020 (%)</w:t>
            </w:r>
          </w:p>
        </w:tc>
      </w:tr>
      <w:tr w:rsidR="00862378" w:rsidRPr="004860F2" w14:paraId="7F0BCC33" w14:textId="77777777" w:rsidTr="004860F2">
        <w:trPr>
          <w:trHeight w:val="187"/>
          <w:jc w:val="center"/>
        </w:trPr>
        <w:tc>
          <w:tcPr>
            <w:tcW w:w="1550"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56831F42" w14:textId="77777777" w:rsidR="000D2E47" w:rsidRPr="004860F2" w:rsidRDefault="000D2E47" w:rsidP="00E50C17">
            <w:pPr>
              <w:spacing w:before="60" w:after="60" w:line="240" w:lineRule="auto"/>
              <w:rPr>
                <w:rFonts w:ascii="Arial" w:hAnsi="Arial" w:cs="Arial"/>
                <w:sz w:val="20"/>
                <w:szCs w:val="20"/>
              </w:rPr>
            </w:pPr>
            <w:r w:rsidRPr="004860F2">
              <w:rPr>
                <w:rFonts w:ascii="Arial" w:hAnsi="Arial" w:cs="Arial"/>
                <w:sz w:val="20"/>
                <w:szCs w:val="20"/>
              </w:rPr>
              <w:t>C. A. B. A.</w:t>
            </w:r>
          </w:p>
        </w:tc>
        <w:tc>
          <w:tcPr>
            <w:tcW w:w="1854" w:type="dxa"/>
            <w:tcBorders>
              <w:top w:val="nil"/>
              <w:left w:val="nil"/>
              <w:bottom w:val="single" w:sz="4" w:space="0" w:color="auto"/>
              <w:right w:val="single" w:sz="4" w:space="0" w:color="auto"/>
            </w:tcBorders>
            <w:shd w:val="clear" w:color="auto" w:fill="auto"/>
            <w:noWrap/>
            <w:vAlign w:val="bottom"/>
            <w:hideMark/>
          </w:tcPr>
          <w:p w14:paraId="7F53187D"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613.424.264.113</w:t>
            </w:r>
          </w:p>
        </w:tc>
        <w:tc>
          <w:tcPr>
            <w:tcW w:w="1855" w:type="dxa"/>
            <w:tcBorders>
              <w:top w:val="nil"/>
              <w:left w:val="nil"/>
              <w:bottom w:val="single" w:sz="4" w:space="0" w:color="auto"/>
              <w:right w:val="single" w:sz="4" w:space="0" w:color="auto"/>
            </w:tcBorders>
            <w:shd w:val="clear" w:color="auto" w:fill="auto"/>
            <w:noWrap/>
            <w:vAlign w:val="bottom"/>
            <w:hideMark/>
          </w:tcPr>
          <w:p w14:paraId="31DF7ABB"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966.449.170.414</w:t>
            </w:r>
          </w:p>
        </w:tc>
        <w:tc>
          <w:tcPr>
            <w:tcW w:w="1855" w:type="dxa"/>
            <w:tcBorders>
              <w:top w:val="nil"/>
              <w:left w:val="nil"/>
              <w:bottom w:val="single" w:sz="4" w:space="0" w:color="auto"/>
              <w:right w:val="single" w:sz="4" w:space="0" w:color="auto"/>
            </w:tcBorders>
            <w:shd w:val="clear" w:color="auto" w:fill="auto"/>
            <w:noWrap/>
            <w:vAlign w:val="bottom"/>
            <w:hideMark/>
          </w:tcPr>
          <w:p w14:paraId="65743392"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1.332.216.965.397</w:t>
            </w:r>
          </w:p>
        </w:tc>
        <w:tc>
          <w:tcPr>
            <w:tcW w:w="778" w:type="dxa"/>
            <w:tcBorders>
              <w:top w:val="nil"/>
              <w:left w:val="nil"/>
              <w:bottom w:val="single" w:sz="4" w:space="0" w:color="auto"/>
              <w:right w:val="single" w:sz="4" w:space="0" w:color="auto"/>
            </w:tcBorders>
            <w:shd w:val="clear" w:color="auto" w:fill="auto"/>
            <w:noWrap/>
            <w:vAlign w:val="bottom"/>
            <w:hideMark/>
          </w:tcPr>
          <w:p w14:paraId="35EB4780"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18,66</w:t>
            </w:r>
          </w:p>
        </w:tc>
        <w:tc>
          <w:tcPr>
            <w:tcW w:w="769" w:type="dxa"/>
            <w:tcBorders>
              <w:top w:val="nil"/>
              <w:left w:val="nil"/>
              <w:bottom w:val="single" w:sz="4" w:space="0" w:color="auto"/>
              <w:right w:val="single" w:sz="4" w:space="0" w:color="auto"/>
            </w:tcBorders>
            <w:shd w:val="clear" w:color="auto" w:fill="auto"/>
            <w:noWrap/>
            <w:vAlign w:val="bottom"/>
            <w:hideMark/>
          </w:tcPr>
          <w:p w14:paraId="1E22BCB7"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21,16</w:t>
            </w:r>
          </w:p>
        </w:tc>
        <w:tc>
          <w:tcPr>
            <w:tcW w:w="769" w:type="dxa"/>
            <w:tcBorders>
              <w:top w:val="nil"/>
              <w:left w:val="nil"/>
              <w:bottom w:val="single" w:sz="4" w:space="0" w:color="auto"/>
              <w:right w:val="single" w:sz="8" w:space="0" w:color="auto"/>
            </w:tcBorders>
            <w:shd w:val="clear" w:color="auto" w:fill="auto"/>
            <w:noWrap/>
            <w:vAlign w:val="bottom"/>
            <w:hideMark/>
          </w:tcPr>
          <w:p w14:paraId="35AE6956"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21,32</w:t>
            </w:r>
          </w:p>
        </w:tc>
      </w:tr>
      <w:tr w:rsidR="00862378" w:rsidRPr="004860F2" w14:paraId="1EA85542" w14:textId="77777777" w:rsidTr="004860F2">
        <w:trPr>
          <w:trHeight w:val="187"/>
          <w:jc w:val="center"/>
        </w:trPr>
        <w:tc>
          <w:tcPr>
            <w:tcW w:w="1550"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02A5B711" w14:textId="77777777" w:rsidR="000D2E47" w:rsidRPr="004860F2" w:rsidRDefault="000D2E47" w:rsidP="00E50C17">
            <w:pPr>
              <w:spacing w:before="60" w:after="60" w:line="240" w:lineRule="auto"/>
              <w:rPr>
                <w:rFonts w:ascii="Arial" w:hAnsi="Arial" w:cs="Arial"/>
                <w:sz w:val="20"/>
                <w:szCs w:val="20"/>
              </w:rPr>
            </w:pPr>
            <w:r w:rsidRPr="004860F2">
              <w:rPr>
                <w:rFonts w:ascii="Arial" w:hAnsi="Arial" w:cs="Arial"/>
                <w:sz w:val="20"/>
                <w:szCs w:val="20"/>
              </w:rPr>
              <w:t xml:space="preserve">Buenos Aires </w:t>
            </w:r>
          </w:p>
        </w:tc>
        <w:tc>
          <w:tcPr>
            <w:tcW w:w="1854" w:type="dxa"/>
            <w:tcBorders>
              <w:top w:val="nil"/>
              <w:left w:val="nil"/>
              <w:bottom w:val="single" w:sz="4" w:space="0" w:color="auto"/>
              <w:right w:val="single" w:sz="4" w:space="0" w:color="auto"/>
            </w:tcBorders>
            <w:shd w:val="clear" w:color="auto" w:fill="auto"/>
            <w:noWrap/>
            <w:vAlign w:val="bottom"/>
            <w:hideMark/>
          </w:tcPr>
          <w:p w14:paraId="2A6CC871"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715.085.996.859</w:t>
            </w:r>
          </w:p>
        </w:tc>
        <w:tc>
          <w:tcPr>
            <w:tcW w:w="1855" w:type="dxa"/>
            <w:tcBorders>
              <w:top w:val="nil"/>
              <w:left w:val="nil"/>
              <w:bottom w:val="single" w:sz="4" w:space="0" w:color="auto"/>
              <w:right w:val="single" w:sz="4" w:space="0" w:color="auto"/>
            </w:tcBorders>
            <w:shd w:val="clear" w:color="auto" w:fill="auto"/>
            <w:noWrap/>
            <w:vAlign w:val="bottom"/>
            <w:hideMark/>
          </w:tcPr>
          <w:p w14:paraId="2A52528C"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821.782.067.519</w:t>
            </w:r>
          </w:p>
        </w:tc>
        <w:tc>
          <w:tcPr>
            <w:tcW w:w="1855" w:type="dxa"/>
            <w:tcBorders>
              <w:top w:val="nil"/>
              <w:left w:val="nil"/>
              <w:bottom w:val="single" w:sz="4" w:space="0" w:color="auto"/>
              <w:right w:val="single" w:sz="4" w:space="0" w:color="auto"/>
            </w:tcBorders>
            <w:shd w:val="clear" w:color="auto" w:fill="auto"/>
            <w:noWrap/>
            <w:vAlign w:val="bottom"/>
            <w:hideMark/>
          </w:tcPr>
          <w:p w14:paraId="333597E2"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1.168.776.261.526</w:t>
            </w:r>
          </w:p>
        </w:tc>
        <w:tc>
          <w:tcPr>
            <w:tcW w:w="778" w:type="dxa"/>
            <w:tcBorders>
              <w:top w:val="nil"/>
              <w:left w:val="nil"/>
              <w:bottom w:val="single" w:sz="4" w:space="0" w:color="auto"/>
              <w:right w:val="single" w:sz="4" w:space="0" w:color="auto"/>
            </w:tcBorders>
            <w:shd w:val="clear" w:color="auto" w:fill="auto"/>
            <w:noWrap/>
            <w:vAlign w:val="bottom"/>
            <w:hideMark/>
          </w:tcPr>
          <w:p w14:paraId="2A107678"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21,76</w:t>
            </w:r>
          </w:p>
        </w:tc>
        <w:tc>
          <w:tcPr>
            <w:tcW w:w="769" w:type="dxa"/>
            <w:tcBorders>
              <w:top w:val="nil"/>
              <w:left w:val="nil"/>
              <w:bottom w:val="single" w:sz="4" w:space="0" w:color="auto"/>
              <w:right w:val="single" w:sz="4" w:space="0" w:color="auto"/>
            </w:tcBorders>
            <w:shd w:val="clear" w:color="auto" w:fill="auto"/>
            <w:noWrap/>
            <w:vAlign w:val="bottom"/>
            <w:hideMark/>
          </w:tcPr>
          <w:p w14:paraId="549DAA5E"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18,00</w:t>
            </w:r>
          </w:p>
        </w:tc>
        <w:tc>
          <w:tcPr>
            <w:tcW w:w="769" w:type="dxa"/>
            <w:tcBorders>
              <w:top w:val="nil"/>
              <w:left w:val="nil"/>
              <w:bottom w:val="single" w:sz="4" w:space="0" w:color="auto"/>
              <w:right w:val="single" w:sz="8" w:space="0" w:color="auto"/>
            </w:tcBorders>
            <w:shd w:val="clear" w:color="auto" w:fill="auto"/>
            <w:noWrap/>
            <w:vAlign w:val="bottom"/>
            <w:hideMark/>
          </w:tcPr>
          <w:p w14:paraId="3F9DAAA5"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18,71</w:t>
            </w:r>
          </w:p>
        </w:tc>
      </w:tr>
      <w:tr w:rsidR="00862378" w:rsidRPr="004860F2" w14:paraId="1E4CEE5E" w14:textId="77777777" w:rsidTr="004860F2">
        <w:trPr>
          <w:trHeight w:val="187"/>
          <w:jc w:val="center"/>
        </w:trPr>
        <w:tc>
          <w:tcPr>
            <w:tcW w:w="1550"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3ADB8C3C" w14:textId="77777777" w:rsidR="000D2E47" w:rsidRPr="004860F2" w:rsidRDefault="000D2E47" w:rsidP="00E50C17">
            <w:pPr>
              <w:spacing w:before="60" w:after="60" w:line="240" w:lineRule="auto"/>
              <w:rPr>
                <w:rFonts w:ascii="Arial" w:hAnsi="Arial" w:cs="Arial"/>
                <w:sz w:val="20"/>
                <w:szCs w:val="20"/>
              </w:rPr>
            </w:pPr>
            <w:r w:rsidRPr="004860F2">
              <w:rPr>
                <w:rFonts w:ascii="Arial" w:hAnsi="Arial" w:cs="Arial"/>
                <w:sz w:val="20"/>
                <w:szCs w:val="20"/>
              </w:rPr>
              <w:t xml:space="preserve">Catamarca </w:t>
            </w:r>
          </w:p>
        </w:tc>
        <w:tc>
          <w:tcPr>
            <w:tcW w:w="1854" w:type="dxa"/>
            <w:tcBorders>
              <w:top w:val="nil"/>
              <w:left w:val="nil"/>
              <w:bottom w:val="single" w:sz="4" w:space="0" w:color="auto"/>
              <w:right w:val="single" w:sz="4" w:space="0" w:color="auto"/>
            </w:tcBorders>
            <w:shd w:val="clear" w:color="auto" w:fill="auto"/>
            <w:noWrap/>
            <w:vAlign w:val="bottom"/>
            <w:hideMark/>
          </w:tcPr>
          <w:p w14:paraId="139FA9AC"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18.267.714.335</w:t>
            </w:r>
          </w:p>
        </w:tc>
        <w:tc>
          <w:tcPr>
            <w:tcW w:w="1855" w:type="dxa"/>
            <w:tcBorders>
              <w:top w:val="nil"/>
              <w:left w:val="nil"/>
              <w:bottom w:val="single" w:sz="4" w:space="0" w:color="auto"/>
              <w:right w:val="single" w:sz="4" w:space="0" w:color="auto"/>
            </w:tcBorders>
            <w:shd w:val="clear" w:color="auto" w:fill="auto"/>
            <w:noWrap/>
            <w:vAlign w:val="bottom"/>
            <w:hideMark/>
          </w:tcPr>
          <w:p w14:paraId="6F3CF716"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26.040.434.879</w:t>
            </w:r>
          </w:p>
        </w:tc>
        <w:tc>
          <w:tcPr>
            <w:tcW w:w="1855" w:type="dxa"/>
            <w:tcBorders>
              <w:top w:val="nil"/>
              <w:left w:val="nil"/>
              <w:bottom w:val="single" w:sz="4" w:space="0" w:color="auto"/>
              <w:right w:val="single" w:sz="4" w:space="0" w:color="auto"/>
            </w:tcBorders>
            <w:shd w:val="clear" w:color="auto" w:fill="auto"/>
            <w:noWrap/>
            <w:vAlign w:val="bottom"/>
            <w:hideMark/>
          </w:tcPr>
          <w:p w14:paraId="10DFEB66"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37.006.513.564</w:t>
            </w:r>
          </w:p>
        </w:tc>
        <w:tc>
          <w:tcPr>
            <w:tcW w:w="778" w:type="dxa"/>
            <w:tcBorders>
              <w:top w:val="nil"/>
              <w:left w:val="nil"/>
              <w:bottom w:val="single" w:sz="4" w:space="0" w:color="auto"/>
              <w:right w:val="single" w:sz="4" w:space="0" w:color="auto"/>
            </w:tcBorders>
            <w:shd w:val="clear" w:color="auto" w:fill="auto"/>
            <w:noWrap/>
            <w:vAlign w:val="bottom"/>
            <w:hideMark/>
          </w:tcPr>
          <w:p w14:paraId="79566AD0"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0,56</w:t>
            </w:r>
          </w:p>
        </w:tc>
        <w:tc>
          <w:tcPr>
            <w:tcW w:w="769" w:type="dxa"/>
            <w:tcBorders>
              <w:top w:val="nil"/>
              <w:left w:val="nil"/>
              <w:bottom w:val="single" w:sz="4" w:space="0" w:color="auto"/>
              <w:right w:val="single" w:sz="4" w:space="0" w:color="auto"/>
            </w:tcBorders>
            <w:shd w:val="clear" w:color="auto" w:fill="auto"/>
            <w:noWrap/>
            <w:vAlign w:val="bottom"/>
            <w:hideMark/>
          </w:tcPr>
          <w:p w14:paraId="034CA7B3"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0,57</w:t>
            </w:r>
          </w:p>
        </w:tc>
        <w:tc>
          <w:tcPr>
            <w:tcW w:w="769" w:type="dxa"/>
            <w:tcBorders>
              <w:top w:val="nil"/>
              <w:left w:val="nil"/>
              <w:bottom w:val="single" w:sz="4" w:space="0" w:color="auto"/>
              <w:right w:val="single" w:sz="8" w:space="0" w:color="auto"/>
            </w:tcBorders>
            <w:shd w:val="clear" w:color="auto" w:fill="auto"/>
            <w:noWrap/>
            <w:vAlign w:val="bottom"/>
            <w:hideMark/>
          </w:tcPr>
          <w:p w14:paraId="2ECA3480"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0,59</w:t>
            </w:r>
          </w:p>
        </w:tc>
      </w:tr>
      <w:tr w:rsidR="00862378" w:rsidRPr="004860F2" w14:paraId="2FF8BB47" w14:textId="77777777" w:rsidTr="004860F2">
        <w:trPr>
          <w:trHeight w:val="187"/>
          <w:jc w:val="center"/>
        </w:trPr>
        <w:tc>
          <w:tcPr>
            <w:tcW w:w="1550"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08614ACB" w14:textId="77777777" w:rsidR="000D2E47" w:rsidRPr="004860F2" w:rsidRDefault="000D2E47" w:rsidP="00E50C17">
            <w:pPr>
              <w:spacing w:before="60" w:after="60" w:line="240" w:lineRule="auto"/>
              <w:rPr>
                <w:rFonts w:ascii="Arial" w:hAnsi="Arial" w:cs="Arial"/>
                <w:sz w:val="20"/>
                <w:szCs w:val="20"/>
              </w:rPr>
            </w:pPr>
            <w:r w:rsidRPr="004860F2">
              <w:rPr>
                <w:rFonts w:ascii="Arial" w:hAnsi="Arial" w:cs="Arial"/>
                <w:sz w:val="20"/>
                <w:szCs w:val="20"/>
              </w:rPr>
              <w:t xml:space="preserve">Córdoba </w:t>
            </w:r>
          </w:p>
        </w:tc>
        <w:tc>
          <w:tcPr>
            <w:tcW w:w="1854" w:type="dxa"/>
            <w:tcBorders>
              <w:top w:val="nil"/>
              <w:left w:val="nil"/>
              <w:bottom w:val="single" w:sz="4" w:space="0" w:color="auto"/>
              <w:right w:val="single" w:sz="4" w:space="0" w:color="auto"/>
            </w:tcBorders>
            <w:shd w:val="clear" w:color="auto" w:fill="auto"/>
            <w:noWrap/>
            <w:vAlign w:val="bottom"/>
            <w:hideMark/>
          </w:tcPr>
          <w:p w14:paraId="177EFB88"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136.203.314.038</w:t>
            </w:r>
          </w:p>
        </w:tc>
        <w:tc>
          <w:tcPr>
            <w:tcW w:w="1855" w:type="dxa"/>
            <w:tcBorders>
              <w:top w:val="nil"/>
              <w:left w:val="nil"/>
              <w:bottom w:val="single" w:sz="4" w:space="0" w:color="auto"/>
              <w:right w:val="single" w:sz="4" w:space="0" w:color="auto"/>
            </w:tcBorders>
            <w:shd w:val="clear" w:color="auto" w:fill="auto"/>
            <w:noWrap/>
            <w:vAlign w:val="bottom"/>
            <w:hideMark/>
          </w:tcPr>
          <w:p w14:paraId="7D844334"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185.823.321.717</w:t>
            </w:r>
          </w:p>
        </w:tc>
        <w:tc>
          <w:tcPr>
            <w:tcW w:w="1855" w:type="dxa"/>
            <w:tcBorders>
              <w:top w:val="nil"/>
              <w:left w:val="nil"/>
              <w:bottom w:val="single" w:sz="4" w:space="0" w:color="auto"/>
              <w:right w:val="single" w:sz="4" w:space="0" w:color="auto"/>
            </w:tcBorders>
            <w:shd w:val="clear" w:color="auto" w:fill="auto"/>
            <w:noWrap/>
            <w:vAlign w:val="bottom"/>
            <w:hideMark/>
          </w:tcPr>
          <w:p w14:paraId="561327F0"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265.280.554.180</w:t>
            </w:r>
          </w:p>
        </w:tc>
        <w:tc>
          <w:tcPr>
            <w:tcW w:w="778" w:type="dxa"/>
            <w:tcBorders>
              <w:top w:val="nil"/>
              <w:left w:val="nil"/>
              <w:bottom w:val="single" w:sz="4" w:space="0" w:color="auto"/>
              <w:right w:val="single" w:sz="4" w:space="0" w:color="auto"/>
            </w:tcBorders>
            <w:shd w:val="clear" w:color="auto" w:fill="auto"/>
            <w:noWrap/>
            <w:vAlign w:val="bottom"/>
            <w:hideMark/>
          </w:tcPr>
          <w:p w14:paraId="37EFFA61"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4,14</w:t>
            </w:r>
          </w:p>
        </w:tc>
        <w:tc>
          <w:tcPr>
            <w:tcW w:w="769" w:type="dxa"/>
            <w:tcBorders>
              <w:top w:val="nil"/>
              <w:left w:val="nil"/>
              <w:bottom w:val="single" w:sz="4" w:space="0" w:color="auto"/>
              <w:right w:val="single" w:sz="4" w:space="0" w:color="auto"/>
            </w:tcBorders>
            <w:shd w:val="clear" w:color="auto" w:fill="auto"/>
            <w:noWrap/>
            <w:vAlign w:val="bottom"/>
            <w:hideMark/>
          </w:tcPr>
          <w:p w14:paraId="0C652D10"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4,07</w:t>
            </w:r>
          </w:p>
        </w:tc>
        <w:tc>
          <w:tcPr>
            <w:tcW w:w="769" w:type="dxa"/>
            <w:tcBorders>
              <w:top w:val="nil"/>
              <w:left w:val="nil"/>
              <w:bottom w:val="single" w:sz="4" w:space="0" w:color="auto"/>
              <w:right w:val="single" w:sz="8" w:space="0" w:color="auto"/>
            </w:tcBorders>
            <w:shd w:val="clear" w:color="auto" w:fill="auto"/>
            <w:noWrap/>
            <w:vAlign w:val="bottom"/>
            <w:hideMark/>
          </w:tcPr>
          <w:p w14:paraId="207E7FC7"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4,25</w:t>
            </w:r>
          </w:p>
        </w:tc>
      </w:tr>
      <w:tr w:rsidR="00862378" w:rsidRPr="004860F2" w14:paraId="70F1D861" w14:textId="77777777" w:rsidTr="004860F2">
        <w:trPr>
          <w:trHeight w:val="187"/>
          <w:jc w:val="center"/>
        </w:trPr>
        <w:tc>
          <w:tcPr>
            <w:tcW w:w="1550"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74355F4B" w14:textId="77777777" w:rsidR="000D2E47" w:rsidRPr="004860F2" w:rsidRDefault="000D2E47" w:rsidP="00E50C17">
            <w:pPr>
              <w:spacing w:before="60" w:after="60" w:line="240" w:lineRule="auto"/>
              <w:rPr>
                <w:rFonts w:ascii="Arial" w:hAnsi="Arial" w:cs="Arial"/>
                <w:sz w:val="20"/>
                <w:szCs w:val="20"/>
              </w:rPr>
            </w:pPr>
            <w:r w:rsidRPr="004860F2">
              <w:rPr>
                <w:rFonts w:ascii="Arial" w:hAnsi="Arial" w:cs="Arial"/>
                <w:sz w:val="20"/>
                <w:szCs w:val="20"/>
              </w:rPr>
              <w:t xml:space="preserve">Corrientes </w:t>
            </w:r>
          </w:p>
        </w:tc>
        <w:tc>
          <w:tcPr>
            <w:tcW w:w="1854" w:type="dxa"/>
            <w:tcBorders>
              <w:top w:val="nil"/>
              <w:left w:val="nil"/>
              <w:bottom w:val="single" w:sz="4" w:space="0" w:color="auto"/>
              <w:right w:val="single" w:sz="4" w:space="0" w:color="auto"/>
            </w:tcBorders>
            <w:shd w:val="clear" w:color="auto" w:fill="auto"/>
            <w:noWrap/>
            <w:vAlign w:val="bottom"/>
            <w:hideMark/>
          </w:tcPr>
          <w:p w14:paraId="3E95AB8B"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40.196.246.692</w:t>
            </w:r>
          </w:p>
        </w:tc>
        <w:tc>
          <w:tcPr>
            <w:tcW w:w="1855" w:type="dxa"/>
            <w:tcBorders>
              <w:top w:val="nil"/>
              <w:left w:val="nil"/>
              <w:bottom w:val="single" w:sz="4" w:space="0" w:color="auto"/>
              <w:right w:val="single" w:sz="4" w:space="0" w:color="auto"/>
            </w:tcBorders>
            <w:shd w:val="clear" w:color="auto" w:fill="auto"/>
            <w:noWrap/>
            <w:vAlign w:val="bottom"/>
            <w:hideMark/>
          </w:tcPr>
          <w:p w14:paraId="0EE2D189"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59.096.262.565</w:t>
            </w:r>
          </w:p>
        </w:tc>
        <w:tc>
          <w:tcPr>
            <w:tcW w:w="1855" w:type="dxa"/>
            <w:tcBorders>
              <w:top w:val="nil"/>
              <w:left w:val="nil"/>
              <w:bottom w:val="single" w:sz="4" w:space="0" w:color="auto"/>
              <w:right w:val="single" w:sz="4" w:space="0" w:color="auto"/>
            </w:tcBorders>
            <w:shd w:val="clear" w:color="auto" w:fill="auto"/>
            <w:noWrap/>
            <w:vAlign w:val="bottom"/>
            <w:hideMark/>
          </w:tcPr>
          <w:p w14:paraId="2E8D26AC"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84.350.522.479</w:t>
            </w:r>
          </w:p>
        </w:tc>
        <w:tc>
          <w:tcPr>
            <w:tcW w:w="778" w:type="dxa"/>
            <w:tcBorders>
              <w:top w:val="nil"/>
              <w:left w:val="nil"/>
              <w:bottom w:val="single" w:sz="4" w:space="0" w:color="auto"/>
              <w:right w:val="single" w:sz="4" w:space="0" w:color="auto"/>
            </w:tcBorders>
            <w:shd w:val="clear" w:color="auto" w:fill="auto"/>
            <w:noWrap/>
            <w:vAlign w:val="bottom"/>
            <w:hideMark/>
          </w:tcPr>
          <w:p w14:paraId="78116D45"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1,22</w:t>
            </w:r>
          </w:p>
        </w:tc>
        <w:tc>
          <w:tcPr>
            <w:tcW w:w="769" w:type="dxa"/>
            <w:tcBorders>
              <w:top w:val="nil"/>
              <w:left w:val="nil"/>
              <w:bottom w:val="single" w:sz="4" w:space="0" w:color="auto"/>
              <w:right w:val="single" w:sz="4" w:space="0" w:color="auto"/>
            </w:tcBorders>
            <w:shd w:val="clear" w:color="auto" w:fill="auto"/>
            <w:noWrap/>
            <w:vAlign w:val="bottom"/>
            <w:hideMark/>
          </w:tcPr>
          <w:p w14:paraId="4F99F9A2"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1,29</w:t>
            </w:r>
          </w:p>
        </w:tc>
        <w:tc>
          <w:tcPr>
            <w:tcW w:w="769" w:type="dxa"/>
            <w:tcBorders>
              <w:top w:val="nil"/>
              <w:left w:val="nil"/>
              <w:bottom w:val="single" w:sz="4" w:space="0" w:color="auto"/>
              <w:right w:val="single" w:sz="8" w:space="0" w:color="auto"/>
            </w:tcBorders>
            <w:shd w:val="clear" w:color="auto" w:fill="auto"/>
            <w:noWrap/>
            <w:vAlign w:val="bottom"/>
            <w:hideMark/>
          </w:tcPr>
          <w:p w14:paraId="610AA892"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1,35</w:t>
            </w:r>
          </w:p>
        </w:tc>
      </w:tr>
      <w:tr w:rsidR="00862378" w:rsidRPr="004860F2" w14:paraId="3CF78C0F" w14:textId="77777777" w:rsidTr="004860F2">
        <w:trPr>
          <w:trHeight w:val="187"/>
          <w:jc w:val="center"/>
        </w:trPr>
        <w:tc>
          <w:tcPr>
            <w:tcW w:w="1550"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0906FE4C" w14:textId="77777777" w:rsidR="000D2E47" w:rsidRPr="004860F2" w:rsidRDefault="000D2E47" w:rsidP="00E50C17">
            <w:pPr>
              <w:spacing w:before="60" w:after="60" w:line="240" w:lineRule="auto"/>
              <w:rPr>
                <w:rFonts w:ascii="Arial" w:hAnsi="Arial" w:cs="Arial"/>
                <w:sz w:val="20"/>
                <w:szCs w:val="20"/>
              </w:rPr>
            </w:pPr>
            <w:r w:rsidRPr="004860F2">
              <w:rPr>
                <w:rFonts w:ascii="Arial" w:hAnsi="Arial" w:cs="Arial"/>
                <w:sz w:val="20"/>
                <w:szCs w:val="20"/>
              </w:rPr>
              <w:t xml:space="preserve">Chaco </w:t>
            </w:r>
          </w:p>
        </w:tc>
        <w:tc>
          <w:tcPr>
            <w:tcW w:w="1854" w:type="dxa"/>
            <w:tcBorders>
              <w:top w:val="nil"/>
              <w:left w:val="nil"/>
              <w:bottom w:val="single" w:sz="4" w:space="0" w:color="auto"/>
              <w:right w:val="single" w:sz="4" w:space="0" w:color="auto"/>
            </w:tcBorders>
            <w:shd w:val="clear" w:color="auto" w:fill="auto"/>
            <w:noWrap/>
            <w:vAlign w:val="bottom"/>
            <w:hideMark/>
          </w:tcPr>
          <w:p w14:paraId="6C56633A"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39.925.862.850</w:t>
            </w:r>
          </w:p>
        </w:tc>
        <w:tc>
          <w:tcPr>
            <w:tcW w:w="1855" w:type="dxa"/>
            <w:tcBorders>
              <w:top w:val="nil"/>
              <w:left w:val="nil"/>
              <w:bottom w:val="single" w:sz="4" w:space="0" w:color="auto"/>
              <w:right w:val="single" w:sz="4" w:space="0" w:color="auto"/>
            </w:tcBorders>
            <w:shd w:val="clear" w:color="auto" w:fill="auto"/>
            <w:noWrap/>
            <w:vAlign w:val="bottom"/>
            <w:hideMark/>
          </w:tcPr>
          <w:p w14:paraId="49299C0F"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55.911.778.741</w:t>
            </w:r>
          </w:p>
        </w:tc>
        <w:tc>
          <w:tcPr>
            <w:tcW w:w="1855" w:type="dxa"/>
            <w:tcBorders>
              <w:top w:val="nil"/>
              <w:left w:val="nil"/>
              <w:bottom w:val="single" w:sz="4" w:space="0" w:color="auto"/>
              <w:right w:val="single" w:sz="4" w:space="0" w:color="auto"/>
            </w:tcBorders>
            <w:shd w:val="clear" w:color="auto" w:fill="auto"/>
            <w:noWrap/>
            <w:vAlign w:val="bottom"/>
            <w:hideMark/>
          </w:tcPr>
          <w:p w14:paraId="5C54CC2E"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80.734.531.226</w:t>
            </w:r>
          </w:p>
        </w:tc>
        <w:tc>
          <w:tcPr>
            <w:tcW w:w="778" w:type="dxa"/>
            <w:tcBorders>
              <w:top w:val="nil"/>
              <w:left w:val="nil"/>
              <w:bottom w:val="single" w:sz="4" w:space="0" w:color="auto"/>
              <w:right w:val="single" w:sz="4" w:space="0" w:color="auto"/>
            </w:tcBorders>
            <w:shd w:val="clear" w:color="auto" w:fill="auto"/>
            <w:noWrap/>
            <w:vAlign w:val="bottom"/>
            <w:hideMark/>
          </w:tcPr>
          <w:p w14:paraId="3C29EDA8"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1,21</w:t>
            </w:r>
          </w:p>
        </w:tc>
        <w:tc>
          <w:tcPr>
            <w:tcW w:w="769" w:type="dxa"/>
            <w:tcBorders>
              <w:top w:val="nil"/>
              <w:left w:val="nil"/>
              <w:bottom w:val="single" w:sz="4" w:space="0" w:color="auto"/>
              <w:right w:val="single" w:sz="4" w:space="0" w:color="auto"/>
            </w:tcBorders>
            <w:shd w:val="clear" w:color="auto" w:fill="auto"/>
            <w:noWrap/>
            <w:vAlign w:val="bottom"/>
            <w:hideMark/>
          </w:tcPr>
          <w:p w14:paraId="2F8F23EB"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1,22</w:t>
            </w:r>
          </w:p>
        </w:tc>
        <w:tc>
          <w:tcPr>
            <w:tcW w:w="769" w:type="dxa"/>
            <w:tcBorders>
              <w:top w:val="nil"/>
              <w:left w:val="nil"/>
              <w:bottom w:val="single" w:sz="4" w:space="0" w:color="auto"/>
              <w:right w:val="single" w:sz="8" w:space="0" w:color="auto"/>
            </w:tcBorders>
            <w:shd w:val="clear" w:color="auto" w:fill="auto"/>
            <w:noWrap/>
            <w:vAlign w:val="bottom"/>
            <w:hideMark/>
          </w:tcPr>
          <w:p w14:paraId="2161B8B4"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1,29</w:t>
            </w:r>
          </w:p>
        </w:tc>
      </w:tr>
      <w:tr w:rsidR="00862378" w:rsidRPr="004860F2" w14:paraId="1C3B138B" w14:textId="77777777" w:rsidTr="004860F2">
        <w:trPr>
          <w:trHeight w:val="187"/>
          <w:jc w:val="center"/>
        </w:trPr>
        <w:tc>
          <w:tcPr>
            <w:tcW w:w="1550"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7FC4FDE7" w14:textId="77777777" w:rsidR="000D2E47" w:rsidRPr="004860F2" w:rsidRDefault="000D2E47" w:rsidP="00E50C17">
            <w:pPr>
              <w:spacing w:before="60" w:after="60" w:line="240" w:lineRule="auto"/>
              <w:rPr>
                <w:rFonts w:ascii="Arial" w:hAnsi="Arial" w:cs="Arial"/>
                <w:sz w:val="20"/>
                <w:szCs w:val="20"/>
              </w:rPr>
            </w:pPr>
            <w:r w:rsidRPr="004860F2">
              <w:rPr>
                <w:rFonts w:ascii="Arial" w:hAnsi="Arial" w:cs="Arial"/>
                <w:sz w:val="20"/>
                <w:szCs w:val="20"/>
              </w:rPr>
              <w:t xml:space="preserve">Chubut </w:t>
            </w:r>
          </w:p>
        </w:tc>
        <w:tc>
          <w:tcPr>
            <w:tcW w:w="1854" w:type="dxa"/>
            <w:tcBorders>
              <w:top w:val="nil"/>
              <w:left w:val="nil"/>
              <w:bottom w:val="single" w:sz="4" w:space="0" w:color="auto"/>
              <w:right w:val="single" w:sz="4" w:space="0" w:color="auto"/>
            </w:tcBorders>
            <w:shd w:val="clear" w:color="auto" w:fill="auto"/>
            <w:noWrap/>
            <w:vAlign w:val="bottom"/>
            <w:hideMark/>
          </w:tcPr>
          <w:p w14:paraId="434D7AAF"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32.317.291.629</w:t>
            </w:r>
          </w:p>
        </w:tc>
        <w:tc>
          <w:tcPr>
            <w:tcW w:w="1855" w:type="dxa"/>
            <w:tcBorders>
              <w:top w:val="nil"/>
              <w:left w:val="nil"/>
              <w:bottom w:val="single" w:sz="4" w:space="0" w:color="auto"/>
              <w:right w:val="single" w:sz="4" w:space="0" w:color="auto"/>
            </w:tcBorders>
            <w:shd w:val="clear" w:color="auto" w:fill="auto"/>
            <w:noWrap/>
            <w:vAlign w:val="bottom"/>
            <w:hideMark/>
          </w:tcPr>
          <w:p w14:paraId="0E68577B"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47.280.950.839</w:t>
            </w:r>
          </w:p>
        </w:tc>
        <w:tc>
          <w:tcPr>
            <w:tcW w:w="1855" w:type="dxa"/>
            <w:tcBorders>
              <w:top w:val="nil"/>
              <w:left w:val="nil"/>
              <w:bottom w:val="single" w:sz="4" w:space="0" w:color="auto"/>
              <w:right w:val="single" w:sz="4" w:space="0" w:color="auto"/>
            </w:tcBorders>
            <w:shd w:val="clear" w:color="auto" w:fill="auto"/>
            <w:noWrap/>
            <w:vAlign w:val="bottom"/>
            <w:hideMark/>
          </w:tcPr>
          <w:p w14:paraId="53F0BD3C"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68.200.848.764</w:t>
            </w:r>
          </w:p>
        </w:tc>
        <w:tc>
          <w:tcPr>
            <w:tcW w:w="778" w:type="dxa"/>
            <w:tcBorders>
              <w:top w:val="nil"/>
              <w:left w:val="nil"/>
              <w:bottom w:val="single" w:sz="4" w:space="0" w:color="auto"/>
              <w:right w:val="single" w:sz="4" w:space="0" w:color="auto"/>
            </w:tcBorders>
            <w:shd w:val="clear" w:color="auto" w:fill="auto"/>
            <w:noWrap/>
            <w:vAlign w:val="bottom"/>
            <w:hideMark/>
          </w:tcPr>
          <w:p w14:paraId="55987F70"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0,98</w:t>
            </w:r>
          </w:p>
        </w:tc>
        <w:tc>
          <w:tcPr>
            <w:tcW w:w="769" w:type="dxa"/>
            <w:tcBorders>
              <w:top w:val="nil"/>
              <w:left w:val="nil"/>
              <w:bottom w:val="single" w:sz="4" w:space="0" w:color="auto"/>
              <w:right w:val="single" w:sz="4" w:space="0" w:color="auto"/>
            </w:tcBorders>
            <w:shd w:val="clear" w:color="auto" w:fill="auto"/>
            <w:noWrap/>
            <w:vAlign w:val="bottom"/>
            <w:hideMark/>
          </w:tcPr>
          <w:p w14:paraId="565DC0F4"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1,04</w:t>
            </w:r>
          </w:p>
        </w:tc>
        <w:tc>
          <w:tcPr>
            <w:tcW w:w="769" w:type="dxa"/>
            <w:tcBorders>
              <w:top w:val="nil"/>
              <w:left w:val="nil"/>
              <w:bottom w:val="single" w:sz="4" w:space="0" w:color="auto"/>
              <w:right w:val="single" w:sz="8" w:space="0" w:color="auto"/>
            </w:tcBorders>
            <w:shd w:val="clear" w:color="auto" w:fill="auto"/>
            <w:noWrap/>
            <w:vAlign w:val="bottom"/>
            <w:hideMark/>
          </w:tcPr>
          <w:p w14:paraId="65C0459A"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1,09</w:t>
            </w:r>
          </w:p>
        </w:tc>
      </w:tr>
      <w:tr w:rsidR="00862378" w:rsidRPr="004860F2" w14:paraId="3D843ED5" w14:textId="77777777" w:rsidTr="004860F2">
        <w:trPr>
          <w:trHeight w:val="187"/>
          <w:jc w:val="center"/>
        </w:trPr>
        <w:tc>
          <w:tcPr>
            <w:tcW w:w="1550"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216972DF" w14:textId="77777777" w:rsidR="000D2E47" w:rsidRPr="004860F2" w:rsidRDefault="000D2E47" w:rsidP="00E50C17">
            <w:pPr>
              <w:spacing w:before="60" w:after="60" w:line="240" w:lineRule="auto"/>
              <w:rPr>
                <w:rFonts w:ascii="Arial" w:hAnsi="Arial" w:cs="Arial"/>
                <w:sz w:val="20"/>
                <w:szCs w:val="20"/>
              </w:rPr>
            </w:pPr>
            <w:r w:rsidRPr="004860F2">
              <w:rPr>
                <w:rFonts w:ascii="Arial" w:hAnsi="Arial" w:cs="Arial"/>
                <w:sz w:val="20"/>
                <w:szCs w:val="20"/>
              </w:rPr>
              <w:t xml:space="preserve">Entre Ríos </w:t>
            </w:r>
          </w:p>
        </w:tc>
        <w:tc>
          <w:tcPr>
            <w:tcW w:w="1854" w:type="dxa"/>
            <w:tcBorders>
              <w:top w:val="nil"/>
              <w:left w:val="nil"/>
              <w:bottom w:val="single" w:sz="4" w:space="0" w:color="auto"/>
              <w:right w:val="single" w:sz="4" w:space="0" w:color="auto"/>
            </w:tcBorders>
            <w:shd w:val="clear" w:color="auto" w:fill="auto"/>
            <w:noWrap/>
            <w:vAlign w:val="bottom"/>
            <w:hideMark/>
          </w:tcPr>
          <w:p w14:paraId="65689167"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48.519.622.758</w:t>
            </w:r>
          </w:p>
        </w:tc>
        <w:tc>
          <w:tcPr>
            <w:tcW w:w="1855" w:type="dxa"/>
            <w:tcBorders>
              <w:top w:val="nil"/>
              <w:left w:val="nil"/>
              <w:bottom w:val="single" w:sz="4" w:space="0" w:color="auto"/>
              <w:right w:val="single" w:sz="4" w:space="0" w:color="auto"/>
            </w:tcBorders>
            <w:shd w:val="clear" w:color="auto" w:fill="auto"/>
            <w:noWrap/>
            <w:vAlign w:val="bottom"/>
            <w:hideMark/>
          </w:tcPr>
          <w:p w14:paraId="779F05B0"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64.143.796.901</w:t>
            </w:r>
          </w:p>
        </w:tc>
        <w:tc>
          <w:tcPr>
            <w:tcW w:w="1855" w:type="dxa"/>
            <w:tcBorders>
              <w:top w:val="nil"/>
              <w:left w:val="nil"/>
              <w:bottom w:val="single" w:sz="4" w:space="0" w:color="auto"/>
              <w:right w:val="single" w:sz="4" w:space="0" w:color="auto"/>
            </w:tcBorders>
            <w:shd w:val="clear" w:color="auto" w:fill="auto"/>
            <w:noWrap/>
            <w:vAlign w:val="bottom"/>
            <w:hideMark/>
          </w:tcPr>
          <w:p w14:paraId="2AAA3902"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90.940.442.476</w:t>
            </w:r>
          </w:p>
        </w:tc>
        <w:tc>
          <w:tcPr>
            <w:tcW w:w="778" w:type="dxa"/>
            <w:tcBorders>
              <w:top w:val="nil"/>
              <w:left w:val="nil"/>
              <w:bottom w:val="single" w:sz="4" w:space="0" w:color="auto"/>
              <w:right w:val="single" w:sz="4" w:space="0" w:color="auto"/>
            </w:tcBorders>
            <w:shd w:val="clear" w:color="auto" w:fill="auto"/>
            <w:noWrap/>
            <w:vAlign w:val="bottom"/>
            <w:hideMark/>
          </w:tcPr>
          <w:p w14:paraId="5F59D62B"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1,48</w:t>
            </w:r>
          </w:p>
        </w:tc>
        <w:tc>
          <w:tcPr>
            <w:tcW w:w="769" w:type="dxa"/>
            <w:tcBorders>
              <w:top w:val="nil"/>
              <w:left w:val="nil"/>
              <w:bottom w:val="single" w:sz="4" w:space="0" w:color="auto"/>
              <w:right w:val="single" w:sz="4" w:space="0" w:color="auto"/>
            </w:tcBorders>
            <w:shd w:val="clear" w:color="auto" w:fill="auto"/>
            <w:noWrap/>
            <w:vAlign w:val="bottom"/>
            <w:hideMark/>
          </w:tcPr>
          <w:p w14:paraId="147A24A9"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1,40</w:t>
            </w:r>
          </w:p>
        </w:tc>
        <w:tc>
          <w:tcPr>
            <w:tcW w:w="769" w:type="dxa"/>
            <w:tcBorders>
              <w:top w:val="nil"/>
              <w:left w:val="nil"/>
              <w:bottom w:val="single" w:sz="4" w:space="0" w:color="auto"/>
              <w:right w:val="single" w:sz="8" w:space="0" w:color="auto"/>
            </w:tcBorders>
            <w:shd w:val="clear" w:color="auto" w:fill="auto"/>
            <w:noWrap/>
            <w:vAlign w:val="bottom"/>
            <w:hideMark/>
          </w:tcPr>
          <w:p w14:paraId="2CDD3698"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1,46</w:t>
            </w:r>
          </w:p>
        </w:tc>
      </w:tr>
      <w:tr w:rsidR="00862378" w:rsidRPr="004860F2" w14:paraId="278B6377" w14:textId="77777777" w:rsidTr="004860F2">
        <w:trPr>
          <w:trHeight w:val="187"/>
          <w:jc w:val="center"/>
        </w:trPr>
        <w:tc>
          <w:tcPr>
            <w:tcW w:w="1550"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156B5483" w14:textId="77777777" w:rsidR="000D2E47" w:rsidRPr="004860F2" w:rsidRDefault="000D2E47" w:rsidP="00E50C17">
            <w:pPr>
              <w:spacing w:before="60" w:after="60" w:line="240" w:lineRule="auto"/>
              <w:rPr>
                <w:rFonts w:ascii="Arial" w:hAnsi="Arial" w:cs="Arial"/>
                <w:sz w:val="20"/>
                <w:szCs w:val="20"/>
              </w:rPr>
            </w:pPr>
            <w:r w:rsidRPr="004860F2">
              <w:rPr>
                <w:rFonts w:ascii="Arial" w:hAnsi="Arial" w:cs="Arial"/>
                <w:sz w:val="20"/>
                <w:szCs w:val="20"/>
              </w:rPr>
              <w:t xml:space="preserve">Formosa </w:t>
            </w:r>
          </w:p>
        </w:tc>
        <w:tc>
          <w:tcPr>
            <w:tcW w:w="1854" w:type="dxa"/>
            <w:tcBorders>
              <w:top w:val="nil"/>
              <w:left w:val="nil"/>
              <w:bottom w:val="single" w:sz="4" w:space="0" w:color="auto"/>
              <w:right w:val="single" w:sz="4" w:space="0" w:color="auto"/>
            </w:tcBorders>
            <w:shd w:val="clear" w:color="auto" w:fill="auto"/>
            <w:noWrap/>
            <w:vAlign w:val="bottom"/>
            <w:hideMark/>
          </w:tcPr>
          <w:p w14:paraId="5195E4FA"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20.420.585.570</w:t>
            </w:r>
          </w:p>
        </w:tc>
        <w:tc>
          <w:tcPr>
            <w:tcW w:w="1855" w:type="dxa"/>
            <w:tcBorders>
              <w:top w:val="nil"/>
              <w:left w:val="nil"/>
              <w:bottom w:val="single" w:sz="4" w:space="0" w:color="auto"/>
              <w:right w:val="single" w:sz="4" w:space="0" w:color="auto"/>
            </w:tcBorders>
            <w:shd w:val="clear" w:color="auto" w:fill="auto"/>
            <w:noWrap/>
            <w:vAlign w:val="bottom"/>
            <w:hideMark/>
          </w:tcPr>
          <w:p w14:paraId="7E7E3E48"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29.371.590.467</w:t>
            </w:r>
          </w:p>
        </w:tc>
        <w:tc>
          <w:tcPr>
            <w:tcW w:w="1855" w:type="dxa"/>
            <w:tcBorders>
              <w:top w:val="nil"/>
              <w:left w:val="nil"/>
              <w:bottom w:val="single" w:sz="4" w:space="0" w:color="auto"/>
              <w:right w:val="single" w:sz="4" w:space="0" w:color="auto"/>
            </w:tcBorders>
            <w:shd w:val="clear" w:color="auto" w:fill="auto"/>
            <w:noWrap/>
            <w:vAlign w:val="bottom"/>
            <w:hideMark/>
          </w:tcPr>
          <w:p w14:paraId="4C284CD6"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40.696.480.006</w:t>
            </w:r>
          </w:p>
        </w:tc>
        <w:tc>
          <w:tcPr>
            <w:tcW w:w="778" w:type="dxa"/>
            <w:tcBorders>
              <w:top w:val="nil"/>
              <w:left w:val="nil"/>
              <w:bottom w:val="single" w:sz="4" w:space="0" w:color="auto"/>
              <w:right w:val="single" w:sz="4" w:space="0" w:color="auto"/>
            </w:tcBorders>
            <w:shd w:val="clear" w:color="auto" w:fill="auto"/>
            <w:noWrap/>
            <w:vAlign w:val="bottom"/>
            <w:hideMark/>
          </w:tcPr>
          <w:p w14:paraId="4118912C"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0,62</w:t>
            </w:r>
          </w:p>
        </w:tc>
        <w:tc>
          <w:tcPr>
            <w:tcW w:w="769" w:type="dxa"/>
            <w:tcBorders>
              <w:top w:val="nil"/>
              <w:left w:val="nil"/>
              <w:bottom w:val="single" w:sz="4" w:space="0" w:color="auto"/>
              <w:right w:val="single" w:sz="4" w:space="0" w:color="auto"/>
            </w:tcBorders>
            <w:shd w:val="clear" w:color="auto" w:fill="auto"/>
            <w:noWrap/>
            <w:vAlign w:val="bottom"/>
            <w:hideMark/>
          </w:tcPr>
          <w:p w14:paraId="6686203F"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0,64</w:t>
            </w:r>
          </w:p>
        </w:tc>
        <w:tc>
          <w:tcPr>
            <w:tcW w:w="769" w:type="dxa"/>
            <w:tcBorders>
              <w:top w:val="nil"/>
              <w:left w:val="nil"/>
              <w:bottom w:val="single" w:sz="4" w:space="0" w:color="auto"/>
              <w:right w:val="single" w:sz="8" w:space="0" w:color="auto"/>
            </w:tcBorders>
            <w:shd w:val="clear" w:color="auto" w:fill="auto"/>
            <w:noWrap/>
            <w:vAlign w:val="bottom"/>
            <w:hideMark/>
          </w:tcPr>
          <w:p w14:paraId="428FF3DE"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0,65</w:t>
            </w:r>
          </w:p>
        </w:tc>
      </w:tr>
      <w:tr w:rsidR="00862378" w:rsidRPr="004860F2" w14:paraId="32491D42" w14:textId="77777777" w:rsidTr="004860F2">
        <w:trPr>
          <w:trHeight w:val="187"/>
          <w:jc w:val="center"/>
        </w:trPr>
        <w:tc>
          <w:tcPr>
            <w:tcW w:w="1550"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2973A193" w14:textId="77777777" w:rsidR="000D2E47" w:rsidRPr="004860F2" w:rsidRDefault="000D2E47" w:rsidP="00E50C17">
            <w:pPr>
              <w:spacing w:before="60" w:after="60" w:line="240" w:lineRule="auto"/>
              <w:rPr>
                <w:rFonts w:ascii="Arial" w:hAnsi="Arial" w:cs="Arial"/>
                <w:sz w:val="20"/>
                <w:szCs w:val="20"/>
              </w:rPr>
            </w:pPr>
            <w:r w:rsidRPr="004860F2">
              <w:rPr>
                <w:rFonts w:ascii="Arial" w:hAnsi="Arial" w:cs="Arial"/>
                <w:sz w:val="20"/>
                <w:szCs w:val="20"/>
              </w:rPr>
              <w:t xml:space="preserve">Jujuy </w:t>
            </w:r>
          </w:p>
        </w:tc>
        <w:tc>
          <w:tcPr>
            <w:tcW w:w="1854" w:type="dxa"/>
            <w:tcBorders>
              <w:top w:val="nil"/>
              <w:left w:val="nil"/>
              <w:bottom w:val="single" w:sz="4" w:space="0" w:color="auto"/>
              <w:right w:val="single" w:sz="4" w:space="0" w:color="auto"/>
            </w:tcBorders>
            <w:shd w:val="clear" w:color="auto" w:fill="auto"/>
            <w:noWrap/>
            <w:vAlign w:val="bottom"/>
            <w:hideMark/>
          </w:tcPr>
          <w:p w14:paraId="540A59F8"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29.540.328.081</w:t>
            </w:r>
          </w:p>
        </w:tc>
        <w:tc>
          <w:tcPr>
            <w:tcW w:w="1855" w:type="dxa"/>
            <w:tcBorders>
              <w:top w:val="nil"/>
              <w:left w:val="nil"/>
              <w:bottom w:val="single" w:sz="4" w:space="0" w:color="auto"/>
              <w:right w:val="single" w:sz="4" w:space="0" w:color="auto"/>
            </w:tcBorders>
            <w:shd w:val="clear" w:color="auto" w:fill="auto"/>
            <w:noWrap/>
            <w:vAlign w:val="bottom"/>
            <w:hideMark/>
          </w:tcPr>
          <w:p w14:paraId="2C2A6992"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42.906.905.943</w:t>
            </w:r>
          </w:p>
        </w:tc>
        <w:tc>
          <w:tcPr>
            <w:tcW w:w="1855" w:type="dxa"/>
            <w:tcBorders>
              <w:top w:val="nil"/>
              <w:left w:val="nil"/>
              <w:bottom w:val="single" w:sz="4" w:space="0" w:color="auto"/>
              <w:right w:val="single" w:sz="4" w:space="0" w:color="auto"/>
            </w:tcBorders>
            <w:shd w:val="clear" w:color="auto" w:fill="auto"/>
            <w:noWrap/>
            <w:vAlign w:val="bottom"/>
            <w:hideMark/>
          </w:tcPr>
          <w:p w14:paraId="7220BDC8"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61.058.162.065</w:t>
            </w:r>
          </w:p>
        </w:tc>
        <w:tc>
          <w:tcPr>
            <w:tcW w:w="778" w:type="dxa"/>
            <w:tcBorders>
              <w:top w:val="nil"/>
              <w:left w:val="nil"/>
              <w:bottom w:val="single" w:sz="4" w:space="0" w:color="auto"/>
              <w:right w:val="single" w:sz="4" w:space="0" w:color="auto"/>
            </w:tcBorders>
            <w:shd w:val="clear" w:color="auto" w:fill="auto"/>
            <w:noWrap/>
            <w:vAlign w:val="bottom"/>
            <w:hideMark/>
          </w:tcPr>
          <w:p w14:paraId="6D1DA740"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0,90</w:t>
            </w:r>
          </w:p>
        </w:tc>
        <w:tc>
          <w:tcPr>
            <w:tcW w:w="769" w:type="dxa"/>
            <w:tcBorders>
              <w:top w:val="nil"/>
              <w:left w:val="nil"/>
              <w:bottom w:val="single" w:sz="4" w:space="0" w:color="auto"/>
              <w:right w:val="single" w:sz="4" w:space="0" w:color="auto"/>
            </w:tcBorders>
            <w:shd w:val="clear" w:color="auto" w:fill="auto"/>
            <w:noWrap/>
            <w:vAlign w:val="bottom"/>
            <w:hideMark/>
          </w:tcPr>
          <w:p w14:paraId="25A63D5C"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0,94</w:t>
            </w:r>
          </w:p>
        </w:tc>
        <w:tc>
          <w:tcPr>
            <w:tcW w:w="769" w:type="dxa"/>
            <w:tcBorders>
              <w:top w:val="nil"/>
              <w:left w:val="nil"/>
              <w:bottom w:val="single" w:sz="4" w:space="0" w:color="auto"/>
              <w:right w:val="single" w:sz="8" w:space="0" w:color="auto"/>
            </w:tcBorders>
            <w:shd w:val="clear" w:color="auto" w:fill="auto"/>
            <w:noWrap/>
            <w:vAlign w:val="bottom"/>
            <w:hideMark/>
          </w:tcPr>
          <w:p w14:paraId="758CB6AE"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0,98</w:t>
            </w:r>
          </w:p>
        </w:tc>
      </w:tr>
      <w:tr w:rsidR="00862378" w:rsidRPr="004860F2" w14:paraId="5A3379FC" w14:textId="77777777" w:rsidTr="004860F2">
        <w:trPr>
          <w:trHeight w:val="187"/>
          <w:jc w:val="center"/>
        </w:trPr>
        <w:tc>
          <w:tcPr>
            <w:tcW w:w="1550"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39F4441E" w14:textId="77777777" w:rsidR="000D2E47" w:rsidRPr="004860F2" w:rsidRDefault="000D2E47" w:rsidP="00E50C17">
            <w:pPr>
              <w:spacing w:before="60" w:after="60" w:line="240" w:lineRule="auto"/>
              <w:rPr>
                <w:rFonts w:ascii="Arial" w:hAnsi="Arial" w:cs="Arial"/>
                <w:sz w:val="20"/>
                <w:szCs w:val="20"/>
              </w:rPr>
            </w:pPr>
            <w:r w:rsidRPr="004860F2">
              <w:rPr>
                <w:rFonts w:ascii="Arial" w:hAnsi="Arial" w:cs="Arial"/>
                <w:sz w:val="20"/>
                <w:szCs w:val="20"/>
              </w:rPr>
              <w:t xml:space="preserve">La Pampa </w:t>
            </w:r>
          </w:p>
        </w:tc>
        <w:tc>
          <w:tcPr>
            <w:tcW w:w="1854" w:type="dxa"/>
            <w:tcBorders>
              <w:top w:val="nil"/>
              <w:left w:val="nil"/>
              <w:bottom w:val="single" w:sz="4" w:space="0" w:color="auto"/>
              <w:right w:val="single" w:sz="4" w:space="0" w:color="auto"/>
            </w:tcBorders>
            <w:shd w:val="clear" w:color="auto" w:fill="auto"/>
            <w:noWrap/>
            <w:vAlign w:val="bottom"/>
            <w:hideMark/>
          </w:tcPr>
          <w:p w14:paraId="6AE61640"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20.119.508.276</w:t>
            </w:r>
          </w:p>
        </w:tc>
        <w:tc>
          <w:tcPr>
            <w:tcW w:w="1855" w:type="dxa"/>
            <w:tcBorders>
              <w:top w:val="nil"/>
              <w:left w:val="nil"/>
              <w:bottom w:val="single" w:sz="4" w:space="0" w:color="auto"/>
              <w:right w:val="single" w:sz="4" w:space="0" w:color="auto"/>
            </w:tcBorders>
            <w:shd w:val="clear" w:color="auto" w:fill="auto"/>
            <w:noWrap/>
            <w:vAlign w:val="bottom"/>
            <w:hideMark/>
          </w:tcPr>
          <w:p w14:paraId="17F08FE9"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29.335.377.442</w:t>
            </w:r>
          </w:p>
        </w:tc>
        <w:tc>
          <w:tcPr>
            <w:tcW w:w="1855" w:type="dxa"/>
            <w:tcBorders>
              <w:top w:val="nil"/>
              <w:left w:val="nil"/>
              <w:bottom w:val="single" w:sz="4" w:space="0" w:color="auto"/>
              <w:right w:val="single" w:sz="4" w:space="0" w:color="auto"/>
            </w:tcBorders>
            <w:shd w:val="clear" w:color="auto" w:fill="auto"/>
            <w:noWrap/>
            <w:vAlign w:val="bottom"/>
            <w:hideMark/>
          </w:tcPr>
          <w:p w14:paraId="02CD9E76"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42.212.483.283</w:t>
            </w:r>
          </w:p>
        </w:tc>
        <w:tc>
          <w:tcPr>
            <w:tcW w:w="778" w:type="dxa"/>
            <w:tcBorders>
              <w:top w:val="nil"/>
              <w:left w:val="nil"/>
              <w:bottom w:val="single" w:sz="4" w:space="0" w:color="auto"/>
              <w:right w:val="single" w:sz="4" w:space="0" w:color="auto"/>
            </w:tcBorders>
            <w:shd w:val="clear" w:color="auto" w:fill="auto"/>
            <w:noWrap/>
            <w:vAlign w:val="bottom"/>
            <w:hideMark/>
          </w:tcPr>
          <w:p w14:paraId="2544CCEA"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0,61</w:t>
            </w:r>
          </w:p>
        </w:tc>
        <w:tc>
          <w:tcPr>
            <w:tcW w:w="769" w:type="dxa"/>
            <w:tcBorders>
              <w:top w:val="nil"/>
              <w:left w:val="nil"/>
              <w:bottom w:val="single" w:sz="4" w:space="0" w:color="auto"/>
              <w:right w:val="single" w:sz="4" w:space="0" w:color="auto"/>
            </w:tcBorders>
            <w:shd w:val="clear" w:color="auto" w:fill="auto"/>
            <w:noWrap/>
            <w:vAlign w:val="bottom"/>
            <w:hideMark/>
          </w:tcPr>
          <w:p w14:paraId="5B7601C1"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0,64</w:t>
            </w:r>
          </w:p>
        </w:tc>
        <w:tc>
          <w:tcPr>
            <w:tcW w:w="769" w:type="dxa"/>
            <w:tcBorders>
              <w:top w:val="nil"/>
              <w:left w:val="nil"/>
              <w:bottom w:val="single" w:sz="4" w:space="0" w:color="auto"/>
              <w:right w:val="single" w:sz="8" w:space="0" w:color="auto"/>
            </w:tcBorders>
            <w:shd w:val="clear" w:color="auto" w:fill="auto"/>
            <w:noWrap/>
            <w:vAlign w:val="bottom"/>
            <w:hideMark/>
          </w:tcPr>
          <w:p w14:paraId="592E244D"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0,68</w:t>
            </w:r>
          </w:p>
        </w:tc>
      </w:tr>
      <w:tr w:rsidR="00862378" w:rsidRPr="004860F2" w14:paraId="2F56A660" w14:textId="77777777" w:rsidTr="004860F2">
        <w:trPr>
          <w:trHeight w:val="187"/>
          <w:jc w:val="center"/>
        </w:trPr>
        <w:tc>
          <w:tcPr>
            <w:tcW w:w="1550"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03DB947D" w14:textId="77777777" w:rsidR="000D2E47" w:rsidRPr="004860F2" w:rsidRDefault="000D2E47" w:rsidP="00E50C17">
            <w:pPr>
              <w:spacing w:before="60" w:after="60" w:line="240" w:lineRule="auto"/>
              <w:rPr>
                <w:rFonts w:ascii="Arial" w:hAnsi="Arial" w:cs="Arial"/>
                <w:sz w:val="20"/>
                <w:szCs w:val="20"/>
              </w:rPr>
            </w:pPr>
            <w:r w:rsidRPr="004860F2">
              <w:rPr>
                <w:rFonts w:ascii="Arial" w:hAnsi="Arial" w:cs="Arial"/>
                <w:sz w:val="20"/>
                <w:szCs w:val="20"/>
              </w:rPr>
              <w:t xml:space="preserve">La Rioja </w:t>
            </w:r>
          </w:p>
        </w:tc>
        <w:tc>
          <w:tcPr>
            <w:tcW w:w="1854" w:type="dxa"/>
            <w:tcBorders>
              <w:top w:val="nil"/>
              <w:left w:val="nil"/>
              <w:bottom w:val="single" w:sz="4" w:space="0" w:color="auto"/>
              <w:right w:val="single" w:sz="4" w:space="0" w:color="auto"/>
            </w:tcBorders>
            <w:shd w:val="clear" w:color="auto" w:fill="auto"/>
            <w:noWrap/>
            <w:vAlign w:val="bottom"/>
            <w:hideMark/>
          </w:tcPr>
          <w:p w14:paraId="19DC2E05"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21.016.405.192</w:t>
            </w:r>
          </w:p>
        </w:tc>
        <w:tc>
          <w:tcPr>
            <w:tcW w:w="1855" w:type="dxa"/>
            <w:tcBorders>
              <w:top w:val="nil"/>
              <w:left w:val="nil"/>
              <w:bottom w:val="single" w:sz="4" w:space="0" w:color="auto"/>
              <w:right w:val="single" w:sz="4" w:space="0" w:color="auto"/>
            </w:tcBorders>
            <w:shd w:val="clear" w:color="auto" w:fill="auto"/>
            <w:noWrap/>
            <w:vAlign w:val="bottom"/>
            <w:hideMark/>
          </w:tcPr>
          <w:p w14:paraId="2EDE288B"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28.755.178.289</w:t>
            </w:r>
          </w:p>
        </w:tc>
        <w:tc>
          <w:tcPr>
            <w:tcW w:w="1855" w:type="dxa"/>
            <w:tcBorders>
              <w:top w:val="nil"/>
              <w:left w:val="nil"/>
              <w:bottom w:val="single" w:sz="4" w:space="0" w:color="auto"/>
              <w:right w:val="single" w:sz="4" w:space="0" w:color="auto"/>
            </w:tcBorders>
            <w:shd w:val="clear" w:color="auto" w:fill="auto"/>
            <w:noWrap/>
            <w:vAlign w:val="bottom"/>
            <w:hideMark/>
          </w:tcPr>
          <w:p w14:paraId="1BC63537"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39.267.743.298</w:t>
            </w:r>
          </w:p>
        </w:tc>
        <w:tc>
          <w:tcPr>
            <w:tcW w:w="778" w:type="dxa"/>
            <w:tcBorders>
              <w:top w:val="nil"/>
              <w:left w:val="nil"/>
              <w:bottom w:val="single" w:sz="4" w:space="0" w:color="auto"/>
              <w:right w:val="single" w:sz="4" w:space="0" w:color="auto"/>
            </w:tcBorders>
            <w:shd w:val="clear" w:color="auto" w:fill="auto"/>
            <w:noWrap/>
            <w:vAlign w:val="bottom"/>
            <w:hideMark/>
          </w:tcPr>
          <w:p w14:paraId="1DF434DB"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0,64</w:t>
            </w:r>
          </w:p>
        </w:tc>
        <w:tc>
          <w:tcPr>
            <w:tcW w:w="769" w:type="dxa"/>
            <w:tcBorders>
              <w:top w:val="nil"/>
              <w:left w:val="nil"/>
              <w:bottom w:val="single" w:sz="4" w:space="0" w:color="auto"/>
              <w:right w:val="single" w:sz="4" w:space="0" w:color="auto"/>
            </w:tcBorders>
            <w:shd w:val="clear" w:color="auto" w:fill="auto"/>
            <w:noWrap/>
            <w:vAlign w:val="bottom"/>
            <w:hideMark/>
          </w:tcPr>
          <w:p w14:paraId="3C9C800A"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0,63</w:t>
            </w:r>
          </w:p>
        </w:tc>
        <w:tc>
          <w:tcPr>
            <w:tcW w:w="769" w:type="dxa"/>
            <w:tcBorders>
              <w:top w:val="nil"/>
              <w:left w:val="nil"/>
              <w:bottom w:val="single" w:sz="4" w:space="0" w:color="auto"/>
              <w:right w:val="single" w:sz="8" w:space="0" w:color="auto"/>
            </w:tcBorders>
            <w:shd w:val="clear" w:color="auto" w:fill="auto"/>
            <w:noWrap/>
            <w:vAlign w:val="bottom"/>
            <w:hideMark/>
          </w:tcPr>
          <w:p w14:paraId="5AE8C83D"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0,63</w:t>
            </w:r>
          </w:p>
        </w:tc>
      </w:tr>
      <w:tr w:rsidR="00862378" w:rsidRPr="004860F2" w14:paraId="060A7EC9" w14:textId="77777777" w:rsidTr="004860F2">
        <w:trPr>
          <w:trHeight w:val="187"/>
          <w:jc w:val="center"/>
        </w:trPr>
        <w:tc>
          <w:tcPr>
            <w:tcW w:w="1550"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2A397F07" w14:textId="77777777" w:rsidR="000D2E47" w:rsidRPr="004860F2" w:rsidRDefault="000D2E47" w:rsidP="00E50C17">
            <w:pPr>
              <w:spacing w:before="60" w:after="60" w:line="240" w:lineRule="auto"/>
              <w:rPr>
                <w:rFonts w:ascii="Arial" w:hAnsi="Arial" w:cs="Arial"/>
                <w:sz w:val="20"/>
                <w:szCs w:val="20"/>
              </w:rPr>
            </w:pPr>
            <w:r w:rsidRPr="004860F2">
              <w:rPr>
                <w:rFonts w:ascii="Arial" w:hAnsi="Arial" w:cs="Arial"/>
                <w:sz w:val="20"/>
                <w:szCs w:val="20"/>
              </w:rPr>
              <w:t xml:space="preserve">Mendoza </w:t>
            </w:r>
          </w:p>
        </w:tc>
        <w:tc>
          <w:tcPr>
            <w:tcW w:w="1854" w:type="dxa"/>
            <w:tcBorders>
              <w:top w:val="nil"/>
              <w:left w:val="nil"/>
              <w:bottom w:val="single" w:sz="4" w:space="0" w:color="auto"/>
              <w:right w:val="single" w:sz="4" w:space="0" w:color="auto"/>
            </w:tcBorders>
            <w:shd w:val="clear" w:color="auto" w:fill="auto"/>
            <w:noWrap/>
            <w:vAlign w:val="bottom"/>
            <w:hideMark/>
          </w:tcPr>
          <w:p w14:paraId="7ACAF453"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83.693.664.342</w:t>
            </w:r>
          </w:p>
        </w:tc>
        <w:tc>
          <w:tcPr>
            <w:tcW w:w="1855" w:type="dxa"/>
            <w:tcBorders>
              <w:top w:val="nil"/>
              <w:left w:val="nil"/>
              <w:bottom w:val="single" w:sz="4" w:space="0" w:color="auto"/>
              <w:right w:val="single" w:sz="4" w:space="0" w:color="auto"/>
            </w:tcBorders>
            <w:shd w:val="clear" w:color="auto" w:fill="auto"/>
            <w:noWrap/>
            <w:vAlign w:val="bottom"/>
            <w:hideMark/>
          </w:tcPr>
          <w:p w14:paraId="570C0A9D"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114.852.832.819</w:t>
            </w:r>
          </w:p>
        </w:tc>
        <w:tc>
          <w:tcPr>
            <w:tcW w:w="1855" w:type="dxa"/>
            <w:tcBorders>
              <w:top w:val="nil"/>
              <w:left w:val="nil"/>
              <w:bottom w:val="single" w:sz="4" w:space="0" w:color="auto"/>
              <w:right w:val="single" w:sz="4" w:space="0" w:color="auto"/>
            </w:tcBorders>
            <w:shd w:val="clear" w:color="auto" w:fill="auto"/>
            <w:noWrap/>
            <w:vAlign w:val="bottom"/>
            <w:hideMark/>
          </w:tcPr>
          <w:p w14:paraId="0400099F"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162.582.065.511</w:t>
            </w:r>
          </w:p>
        </w:tc>
        <w:tc>
          <w:tcPr>
            <w:tcW w:w="778" w:type="dxa"/>
            <w:tcBorders>
              <w:top w:val="nil"/>
              <w:left w:val="nil"/>
              <w:bottom w:val="single" w:sz="4" w:space="0" w:color="auto"/>
              <w:right w:val="single" w:sz="4" w:space="0" w:color="auto"/>
            </w:tcBorders>
            <w:shd w:val="clear" w:color="auto" w:fill="auto"/>
            <w:noWrap/>
            <w:vAlign w:val="bottom"/>
            <w:hideMark/>
          </w:tcPr>
          <w:p w14:paraId="107DD169"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2,55</w:t>
            </w:r>
          </w:p>
        </w:tc>
        <w:tc>
          <w:tcPr>
            <w:tcW w:w="769" w:type="dxa"/>
            <w:tcBorders>
              <w:top w:val="nil"/>
              <w:left w:val="nil"/>
              <w:bottom w:val="single" w:sz="4" w:space="0" w:color="auto"/>
              <w:right w:val="single" w:sz="4" w:space="0" w:color="auto"/>
            </w:tcBorders>
            <w:shd w:val="clear" w:color="auto" w:fill="auto"/>
            <w:noWrap/>
            <w:vAlign w:val="bottom"/>
            <w:hideMark/>
          </w:tcPr>
          <w:p w14:paraId="45D768E9"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2,52</w:t>
            </w:r>
          </w:p>
        </w:tc>
        <w:tc>
          <w:tcPr>
            <w:tcW w:w="769" w:type="dxa"/>
            <w:tcBorders>
              <w:top w:val="nil"/>
              <w:left w:val="nil"/>
              <w:bottom w:val="single" w:sz="4" w:space="0" w:color="auto"/>
              <w:right w:val="single" w:sz="8" w:space="0" w:color="auto"/>
            </w:tcBorders>
            <w:shd w:val="clear" w:color="auto" w:fill="auto"/>
            <w:noWrap/>
            <w:vAlign w:val="bottom"/>
            <w:hideMark/>
          </w:tcPr>
          <w:p w14:paraId="73E07C39"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2,60</w:t>
            </w:r>
          </w:p>
        </w:tc>
      </w:tr>
      <w:tr w:rsidR="00862378" w:rsidRPr="004860F2" w14:paraId="7E3FE6FA" w14:textId="77777777" w:rsidTr="004860F2">
        <w:trPr>
          <w:trHeight w:val="187"/>
          <w:jc w:val="center"/>
        </w:trPr>
        <w:tc>
          <w:tcPr>
            <w:tcW w:w="1550"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5BAEA408" w14:textId="77777777" w:rsidR="000D2E47" w:rsidRPr="004860F2" w:rsidRDefault="000D2E47" w:rsidP="00E50C17">
            <w:pPr>
              <w:spacing w:before="60" w:after="60" w:line="240" w:lineRule="auto"/>
              <w:rPr>
                <w:rFonts w:ascii="Arial" w:hAnsi="Arial" w:cs="Arial"/>
                <w:sz w:val="20"/>
                <w:szCs w:val="20"/>
              </w:rPr>
            </w:pPr>
            <w:r w:rsidRPr="004860F2">
              <w:rPr>
                <w:rFonts w:ascii="Arial" w:hAnsi="Arial" w:cs="Arial"/>
                <w:sz w:val="20"/>
                <w:szCs w:val="20"/>
              </w:rPr>
              <w:t xml:space="preserve">Misiones </w:t>
            </w:r>
          </w:p>
        </w:tc>
        <w:tc>
          <w:tcPr>
            <w:tcW w:w="1854" w:type="dxa"/>
            <w:tcBorders>
              <w:top w:val="nil"/>
              <w:left w:val="nil"/>
              <w:bottom w:val="single" w:sz="4" w:space="0" w:color="auto"/>
              <w:right w:val="single" w:sz="4" w:space="0" w:color="auto"/>
            </w:tcBorders>
            <w:shd w:val="clear" w:color="auto" w:fill="auto"/>
            <w:noWrap/>
            <w:vAlign w:val="bottom"/>
            <w:hideMark/>
          </w:tcPr>
          <w:p w14:paraId="55D7BDE4"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41.982.783.842</w:t>
            </w:r>
          </w:p>
        </w:tc>
        <w:tc>
          <w:tcPr>
            <w:tcW w:w="1855" w:type="dxa"/>
            <w:tcBorders>
              <w:top w:val="nil"/>
              <w:left w:val="nil"/>
              <w:bottom w:val="single" w:sz="4" w:space="0" w:color="auto"/>
              <w:right w:val="single" w:sz="4" w:space="0" w:color="auto"/>
            </w:tcBorders>
            <w:shd w:val="clear" w:color="auto" w:fill="auto"/>
            <w:noWrap/>
            <w:vAlign w:val="bottom"/>
            <w:hideMark/>
          </w:tcPr>
          <w:p w14:paraId="509CBEC0"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60.828.987.582</w:t>
            </w:r>
          </w:p>
        </w:tc>
        <w:tc>
          <w:tcPr>
            <w:tcW w:w="1855" w:type="dxa"/>
            <w:tcBorders>
              <w:top w:val="nil"/>
              <w:left w:val="nil"/>
              <w:bottom w:val="single" w:sz="4" w:space="0" w:color="auto"/>
              <w:right w:val="single" w:sz="4" w:space="0" w:color="auto"/>
            </w:tcBorders>
            <w:shd w:val="clear" w:color="auto" w:fill="auto"/>
            <w:noWrap/>
            <w:vAlign w:val="bottom"/>
            <w:hideMark/>
          </w:tcPr>
          <w:p w14:paraId="284EAD4F"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85.831.083.737</w:t>
            </w:r>
          </w:p>
        </w:tc>
        <w:tc>
          <w:tcPr>
            <w:tcW w:w="778" w:type="dxa"/>
            <w:tcBorders>
              <w:top w:val="nil"/>
              <w:left w:val="nil"/>
              <w:bottom w:val="single" w:sz="4" w:space="0" w:color="auto"/>
              <w:right w:val="single" w:sz="4" w:space="0" w:color="auto"/>
            </w:tcBorders>
            <w:shd w:val="clear" w:color="auto" w:fill="auto"/>
            <w:noWrap/>
            <w:vAlign w:val="bottom"/>
            <w:hideMark/>
          </w:tcPr>
          <w:p w14:paraId="6D5B7634"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1,28</w:t>
            </w:r>
          </w:p>
        </w:tc>
        <w:tc>
          <w:tcPr>
            <w:tcW w:w="769" w:type="dxa"/>
            <w:tcBorders>
              <w:top w:val="nil"/>
              <w:left w:val="nil"/>
              <w:bottom w:val="single" w:sz="4" w:space="0" w:color="auto"/>
              <w:right w:val="single" w:sz="4" w:space="0" w:color="auto"/>
            </w:tcBorders>
            <w:shd w:val="clear" w:color="auto" w:fill="auto"/>
            <w:noWrap/>
            <w:vAlign w:val="bottom"/>
            <w:hideMark/>
          </w:tcPr>
          <w:p w14:paraId="68D2A62B"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1,33</w:t>
            </w:r>
          </w:p>
        </w:tc>
        <w:tc>
          <w:tcPr>
            <w:tcW w:w="769" w:type="dxa"/>
            <w:tcBorders>
              <w:top w:val="nil"/>
              <w:left w:val="nil"/>
              <w:bottom w:val="single" w:sz="4" w:space="0" w:color="auto"/>
              <w:right w:val="single" w:sz="8" w:space="0" w:color="auto"/>
            </w:tcBorders>
            <w:shd w:val="clear" w:color="auto" w:fill="auto"/>
            <w:noWrap/>
            <w:vAlign w:val="bottom"/>
            <w:hideMark/>
          </w:tcPr>
          <w:p w14:paraId="743DB46E"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1,37</w:t>
            </w:r>
          </w:p>
        </w:tc>
      </w:tr>
      <w:tr w:rsidR="00862378" w:rsidRPr="004860F2" w14:paraId="472CDBC1" w14:textId="77777777" w:rsidTr="004860F2">
        <w:trPr>
          <w:trHeight w:val="187"/>
          <w:jc w:val="center"/>
        </w:trPr>
        <w:tc>
          <w:tcPr>
            <w:tcW w:w="1550"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748D114F" w14:textId="77777777" w:rsidR="000D2E47" w:rsidRPr="004860F2" w:rsidRDefault="000D2E47" w:rsidP="00E50C17">
            <w:pPr>
              <w:spacing w:before="60" w:after="60" w:line="240" w:lineRule="auto"/>
              <w:rPr>
                <w:rFonts w:ascii="Arial" w:hAnsi="Arial" w:cs="Arial"/>
                <w:sz w:val="20"/>
                <w:szCs w:val="20"/>
              </w:rPr>
            </w:pPr>
            <w:r w:rsidRPr="004860F2">
              <w:rPr>
                <w:rFonts w:ascii="Arial" w:hAnsi="Arial" w:cs="Arial"/>
                <w:sz w:val="20"/>
                <w:szCs w:val="20"/>
              </w:rPr>
              <w:t xml:space="preserve">Neuquén </w:t>
            </w:r>
          </w:p>
        </w:tc>
        <w:tc>
          <w:tcPr>
            <w:tcW w:w="1854" w:type="dxa"/>
            <w:tcBorders>
              <w:top w:val="nil"/>
              <w:left w:val="nil"/>
              <w:bottom w:val="single" w:sz="4" w:space="0" w:color="auto"/>
              <w:right w:val="single" w:sz="4" w:space="0" w:color="auto"/>
            </w:tcBorders>
            <w:shd w:val="clear" w:color="auto" w:fill="auto"/>
            <w:noWrap/>
            <w:vAlign w:val="bottom"/>
            <w:hideMark/>
          </w:tcPr>
          <w:p w14:paraId="62DDF3B7"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29.822.684.724</w:t>
            </w:r>
          </w:p>
        </w:tc>
        <w:tc>
          <w:tcPr>
            <w:tcW w:w="1855" w:type="dxa"/>
            <w:tcBorders>
              <w:top w:val="nil"/>
              <w:left w:val="nil"/>
              <w:bottom w:val="single" w:sz="4" w:space="0" w:color="auto"/>
              <w:right w:val="single" w:sz="4" w:space="0" w:color="auto"/>
            </w:tcBorders>
            <w:shd w:val="clear" w:color="auto" w:fill="auto"/>
            <w:noWrap/>
            <w:vAlign w:val="bottom"/>
            <w:hideMark/>
          </w:tcPr>
          <w:p w14:paraId="77DBA299"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43.055.817.336</w:t>
            </w:r>
          </w:p>
        </w:tc>
        <w:tc>
          <w:tcPr>
            <w:tcW w:w="1855" w:type="dxa"/>
            <w:tcBorders>
              <w:top w:val="nil"/>
              <w:left w:val="nil"/>
              <w:bottom w:val="single" w:sz="4" w:space="0" w:color="auto"/>
              <w:right w:val="single" w:sz="4" w:space="0" w:color="auto"/>
            </w:tcBorders>
            <w:shd w:val="clear" w:color="auto" w:fill="auto"/>
            <w:noWrap/>
            <w:vAlign w:val="bottom"/>
            <w:hideMark/>
          </w:tcPr>
          <w:p w14:paraId="3FF9AFBC"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61.671.605.010</w:t>
            </w:r>
          </w:p>
        </w:tc>
        <w:tc>
          <w:tcPr>
            <w:tcW w:w="778" w:type="dxa"/>
            <w:tcBorders>
              <w:top w:val="nil"/>
              <w:left w:val="nil"/>
              <w:bottom w:val="single" w:sz="4" w:space="0" w:color="auto"/>
              <w:right w:val="single" w:sz="4" w:space="0" w:color="auto"/>
            </w:tcBorders>
            <w:shd w:val="clear" w:color="auto" w:fill="auto"/>
            <w:noWrap/>
            <w:vAlign w:val="bottom"/>
            <w:hideMark/>
          </w:tcPr>
          <w:p w14:paraId="68D7855A"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0,91</w:t>
            </w:r>
          </w:p>
        </w:tc>
        <w:tc>
          <w:tcPr>
            <w:tcW w:w="769" w:type="dxa"/>
            <w:tcBorders>
              <w:top w:val="nil"/>
              <w:left w:val="nil"/>
              <w:bottom w:val="single" w:sz="4" w:space="0" w:color="auto"/>
              <w:right w:val="single" w:sz="4" w:space="0" w:color="auto"/>
            </w:tcBorders>
            <w:shd w:val="clear" w:color="auto" w:fill="auto"/>
            <w:noWrap/>
            <w:vAlign w:val="bottom"/>
            <w:hideMark/>
          </w:tcPr>
          <w:p w14:paraId="2F23C788"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0,94</w:t>
            </w:r>
          </w:p>
        </w:tc>
        <w:tc>
          <w:tcPr>
            <w:tcW w:w="769" w:type="dxa"/>
            <w:tcBorders>
              <w:top w:val="nil"/>
              <w:left w:val="nil"/>
              <w:bottom w:val="single" w:sz="4" w:space="0" w:color="auto"/>
              <w:right w:val="single" w:sz="8" w:space="0" w:color="auto"/>
            </w:tcBorders>
            <w:shd w:val="clear" w:color="auto" w:fill="auto"/>
            <w:noWrap/>
            <w:vAlign w:val="bottom"/>
            <w:hideMark/>
          </w:tcPr>
          <w:p w14:paraId="0AAA6D39"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0,99</w:t>
            </w:r>
          </w:p>
        </w:tc>
      </w:tr>
      <w:tr w:rsidR="00862378" w:rsidRPr="004860F2" w14:paraId="554782A6" w14:textId="77777777" w:rsidTr="004860F2">
        <w:trPr>
          <w:trHeight w:val="187"/>
          <w:jc w:val="center"/>
        </w:trPr>
        <w:tc>
          <w:tcPr>
            <w:tcW w:w="1550"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1EF74FDC" w14:textId="77777777" w:rsidR="000D2E47" w:rsidRPr="004860F2" w:rsidRDefault="000D2E47" w:rsidP="00E50C17">
            <w:pPr>
              <w:spacing w:before="60" w:after="60" w:line="240" w:lineRule="auto"/>
              <w:rPr>
                <w:rFonts w:ascii="Arial" w:hAnsi="Arial" w:cs="Arial"/>
                <w:sz w:val="20"/>
                <w:szCs w:val="20"/>
              </w:rPr>
            </w:pPr>
            <w:r w:rsidRPr="004860F2">
              <w:rPr>
                <w:rFonts w:ascii="Arial" w:hAnsi="Arial" w:cs="Arial"/>
                <w:sz w:val="20"/>
                <w:szCs w:val="20"/>
              </w:rPr>
              <w:t xml:space="preserve">Río Negro </w:t>
            </w:r>
          </w:p>
        </w:tc>
        <w:tc>
          <w:tcPr>
            <w:tcW w:w="1854" w:type="dxa"/>
            <w:tcBorders>
              <w:top w:val="nil"/>
              <w:left w:val="nil"/>
              <w:bottom w:val="single" w:sz="4" w:space="0" w:color="auto"/>
              <w:right w:val="single" w:sz="4" w:space="0" w:color="auto"/>
            </w:tcBorders>
            <w:shd w:val="clear" w:color="auto" w:fill="auto"/>
            <w:noWrap/>
            <w:vAlign w:val="bottom"/>
            <w:hideMark/>
          </w:tcPr>
          <w:p w14:paraId="10BF6F1C"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47.072.135.619</w:t>
            </w:r>
          </w:p>
        </w:tc>
        <w:tc>
          <w:tcPr>
            <w:tcW w:w="1855" w:type="dxa"/>
            <w:tcBorders>
              <w:top w:val="nil"/>
              <w:left w:val="nil"/>
              <w:bottom w:val="single" w:sz="4" w:space="0" w:color="auto"/>
              <w:right w:val="single" w:sz="4" w:space="0" w:color="auto"/>
            </w:tcBorders>
            <w:shd w:val="clear" w:color="auto" w:fill="auto"/>
            <w:noWrap/>
            <w:vAlign w:val="bottom"/>
            <w:hideMark/>
          </w:tcPr>
          <w:p w14:paraId="1B1643E4"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66.891.082.549</w:t>
            </w:r>
          </w:p>
        </w:tc>
        <w:tc>
          <w:tcPr>
            <w:tcW w:w="1855" w:type="dxa"/>
            <w:tcBorders>
              <w:top w:val="nil"/>
              <w:left w:val="nil"/>
              <w:bottom w:val="single" w:sz="4" w:space="0" w:color="auto"/>
              <w:right w:val="single" w:sz="4" w:space="0" w:color="auto"/>
            </w:tcBorders>
            <w:shd w:val="clear" w:color="auto" w:fill="auto"/>
            <w:noWrap/>
            <w:vAlign w:val="bottom"/>
            <w:hideMark/>
          </w:tcPr>
          <w:p w14:paraId="40373694"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96.014.693.810</w:t>
            </w:r>
          </w:p>
        </w:tc>
        <w:tc>
          <w:tcPr>
            <w:tcW w:w="778" w:type="dxa"/>
            <w:tcBorders>
              <w:top w:val="nil"/>
              <w:left w:val="nil"/>
              <w:bottom w:val="single" w:sz="4" w:space="0" w:color="auto"/>
              <w:right w:val="single" w:sz="4" w:space="0" w:color="auto"/>
            </w:tcBorders>
            <w:shd w:val="clear" w:color="auto" w:fill="auto"/>
            <w:noWrap/>
            <w:vAlign w:val="bottom"/>
            <w:hideMark/>
          </w:tcPr>
          <w:p w14:paraId="2135A0D0"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1,43</w:t>
            </w:r>
          </w:p>
        </w:tc>
        <w:tc>
          <w:tcPr>
            <w:tcW w:w="769" w:type="dxa"/>
            <w:tcBorders>
              <w:top w:val="nil"/>
              <w:left w:val="nil"/>
              <w:bottom w:val="single" w:sz="4" w:space="0" w:color="auto"/>
              <w:right w:val="single" w:sz="4" w:space="0" w:color="auto"/>
            </w:tcBorders>
            <w:shd w:val="clear" w:color="auto" w:fill="auto"/>
            <w:noWrap/>
            <w:vAlign w:val="bottom"/>
            <w:hideMark/>
          </w:tcPr>
          <w:p w14:paraId="21670542"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1,46</w:t>
            </w:r>
          </w:p>
        </w:tc>
        <w:tc>
          <w:tcPr>
            <w:tcW w:w="769" w:type="dxa"/>
            <w:tcBorders>
              <w:top w:val="nil"/>
              <w:left w:val="nil"/>
              <w:bottom w:val="single" w:sz="4" w:space="0" w:color="auto"/>
              <w:right w:val="single" w:sz="8" w:space="0" w:color="auto"/>
            </w:tcBorders>
            <w:shd w:val="clear" w:color="auto" w:fill="auto"/>
            <w:noWrap/>
            <w:vAlign w:val="bottom"/>
            <w:hideMark/>
          </w:tcPr>
          <w:p w14:paraId="08418993"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1,54</w:t>
            </w:r>
          </w:p>
        </w:tc>
      </w:tr>
      <w:tr w:rsidR="00862378" w:rsidRPr="004860F2" w14:paraId="0BD4A958" w14:textId="77777777" w:rsidTr="004860F2">
        <w:trPr>
          <w:trHeight w:val="187"/>
          <w:jc w:val="center"/>
        </w:trPr>
        <w:tc>
          <w:tcPr>
            <w:tcW w:w="1550"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336C07A0" w14:textId="77777777" w:rsidR="000D2E47" w:rsidRPr="004860F2" w:rsidRDefault="000D2E47" w:rsidP="00E50C17">
            <w:pPr>
              <w:spacing w:before="60" w:after="60" w:line="240" w:lineRule="auto"/>
              <w:rPr>
                <w:rFonts w:ascii="Arial" w:hAnsi="Arial" w:cs="Arial"/>
                <w:sz w:val="20"/>
                <w:szCs w:val="20"/>
              </w:rPr>
            </w:pPr>
            <w:r w:rsidRPr="004860F2">
              <w:rPr>
                <w:rFonts w:ascii="Arial" w:hAnsi="Arial" w:cs="Arial"/>
                <w:sz w:val="20"/>
                <w:szCs w:val="20"/>
              </w:rPr>
              <w:t xml:space="preserve">Salta </w:t>
            </w:r>
          </w:p>
        </w:tc>
        <w:tc>
          <w:tcPr>
            <w:tcW w:w="1854" w:type="dxa"/>
            <w:tcBorders>
              <w:top w:val="nil"/>
              <w:left w:val="nil"/>
              <w:bottom w:val="single" w:sz="4" w:space="0" w:color="auto"/>
              <w:right w:val="single" w:sz="4" w:space="0" w:color="auto"/>
            </w:tcBorders>
            <w:shd w:val="clear" w:color="auto" w:fill="auto"/>
            <w:noWrap/>
            <w:vAlign w:val="bottom"/>
            <w:hideMark/>
          </w:tcPr>
          <w:p w14:paraId="526D5F7D"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56.924.399.610</w:t>
            </w:r>
          </w:p>
        </w:tc>
        <w:tc>
          <w:tcPr>
            <w:tcW w:w="1855" w:type="dxa"/>
            <w:tcBorders>
              <w:top w:val="nil"/>
              <w:left w:val="nil"/>
              <w:bottom w:val="single" w:sz="4" w:space="0" w:color="auto"/>
              <w:right w:val="single" w:sz="4" w:space="0" w:color="auto"/>
            </w:tcBorders>
            <w:shd w:val="clear" w:color="auto" w:fill="auto"/>
            <w:noWrap/>
            <w:vAlign w:val="bottom"/>
            <w:hideMark/>
          </w:tcPr>
          <w:p w14:paraId="48F51A7F"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77.044.103.858</w:t>
            </w:r>
          </w:p>
        </w:tc>
        <w:tc>
          <w:tcPr>
            <w:tcW w:w="1855" w:type="dxa"/>
            <w:tcBorders>
              <w:top w:val="nil"/>
              <w:left w:val="nil"/>
              <w:bottom w:val="single" w:sz="4" w:space="0" w:color="auto"/>
              <w:right w:val="single" w:sz="4" w:space="0" w:color="auto"/>
            </w:tcBorders>
            <w:shd w:val="clear" w:color="auto" w:fill="auto"/>
            <w:noWrap/>
            <w:vAlign w:val="bottom"/>
            <w:hideMark/>
          </w:tcPr>
          <w:p w14:paraId="7E065D0A"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109.455.346.933</w:t>
            </w:r>
          </w:p>
        </w:tc>
        <w:tc>
          <w:tcPr>
            <w:tcW w:w="778" w:type="dxa"/>
            <w:tcBorders>
              <w:top w:val="nil"/>
              <w:left w:val="nil"/>
              <w:bottom w:val="single" w:sz="4" w:space="0" w:color="auto"/>
              <w:right w:val="single" w:sz="4" w:space="0" w:color="auto"/>
            </w:tcBorders>
            <w:shd w:val="clear" w:color="auto" w:fill="auto"/>
            <w:noWrap/>
            <w:vAlign w:val="bottom"/>
            <w:hideMark/>
          </w:tcPr>
          <w:p w14:paraId="552C3FD8"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1,73</w:t>
            </w:r>
          </w:p>
        </w:tc>
        <w:tc>
          <w:tcPr>
            <w:tcW w:w="769" w:type="dxa"/>
            <w:tcBorders>
              <w:top w:val="nil"/>
              <w:left w:val="nil"/>
              <w:bottom w:val="single" w:sz="4" w:space="0" w:color="auto"/>
              <w:right w:val="single" w:sz="4" w:space="0" w:color="auto"/>
            </w:tcBorders>
            <w:shd w:val="clear" w:color="auto" w:fill="auto"/>
            <w:noWrap/>
            <w:vAlign w:val="bottom"/>
            <w:hideMark/>
          </w:tcPr>
          <w:p w14:paraId="1D9A1B03"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1,69</w:t>
            </w:r>
          </w:p>
        </w:tc>
        <w:tc>
          <w:tcPr>
            <w:tcW w:w="769" w:type="dxa"/>
            <w:tcBorders>
              <w:top w:val="nil"/>
              <w:left w:val="nil"/>
              <w:bottom w:val="single" w:sz="4" w:space="0" w:color="auto"/>
              <w:right w:val="single" w:sz="8" w:space="0" w:color="auto"/>
            </w:tcBorders>
            <w:shd w:val="clear" w:color="auto" w:fill="auto"/>
            <w:noWrap/>
            <w:vAlign w:val="bottom"/>
            <w:hideMark/>
          </w:tcPr>
          <w:p w14:paraId="3C0AF7E4"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1,75</w:t>
            </w:r>
          </w:p>
        </w:tc>
      </w:tr>
      <w:tr w:rsidR="00862378" w:rsidRPr="004860F2" w14:paraId="1924646B" w14:textId="77777777" w:rsidTr="004860F2">
        <w:trPr>
          <w:trHeight w:val="187"/>
          <w:jc w:val="center"/>
        </w:trPr>
        <w:tc>
          <w:tcPr>
            <w:tcW w:w="1550"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78713B54" w14:textId="77777777" w:rsidR="000D2E47" w:rsidRPr="004860F2" w:rsidRDefault="000D2E47" w:rsidP="00E50C17">
            <w:pPr>
              <w:spacing w:before="60" w:after="60" w:line="240" w:lineRule="auto"/>
              <w:rPr>
                <w:rFonts w:ascii="Arial" w:hAnsi="Arial" w:cs="Arial"/>
                <w:sz w:val="20"/>
                <w:szCs w:val="20"/>
              </w:rPr>
            </w:pPr>
            <w:r w:rsidRPr="004860F2">
              <w:rPr>
                <w:rFonts w:ascii="Arial" w:hAnsi="Arial" w:cs="Arial"/>
                <w:sz w:val="20"/>
                <w:szCs w:val="20"/>
              </w:rPr>
              <w:t xml:space="preserve">San Juan </w:t>
            </w:r>
          </w:p>
        </w:tc>
        <w:tc>
          <w:tcPr>
            <w:tcW w:w="1854" w:type="dxa"/>
            <w:tcBorders>
              <w:top w:val="nil"/>
              <w:left w:val="nil"/>
              <w:bottom w:val="single" w:sz="4" w:space="0" w:color="auto"/>
              <w:right w:val="single" w:sz="4" w:space="0" w:color="auto"/>
            </w:tcBorders>
            <w:shd w:val="clear" w:color="auto" w:fill="auto"/>
            <w:noWrap/>
            <w:vAlign w:val="bottom"/>
            <w:hideMark/>
          </w:tcPr>
          <w:p w14:paraId="2AFE05B8"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36.508.854.697</w:t>
            </w:r>
          </w:p>
        </w:tc>
        <w:tc>
          <w:tcPr>
            <w:tcW w:w="1855" w:type="dxa"/>
            <w:tcBorders>
              <w:top w:val="nil"/>
              <w:left w:val="nil"/>
              <w:bottom w:val="single" w:sz="4" w:space="0" w:color="auto"/>
              <w:right w:val="single" w:sz="4" w:space="0" w:color="auto"/>
            </w:tcBorders>
            <w:shd w:val="clear" w:color="auto" w:fill="auto"/>
            <w:noWrap/>
            <w:vAlign w:val="bottom"/>
            <w:hideMark/>
          </w:tcPr>
          <w:p w14:paraId="6E2E3597"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53.719.879.964</w:t>
            </w:r>
          </w:p>
        </w:tc>
        <w:tc>
          <w:tcPr>
            <w:tcW w:w="1855" w:type="dxa"/>
            <w:tcBorders>
              <w:top w:val="nil"/>
              <w:left w:val="nil"/>
              <w:bottom w:val="single" w:sz="4" w:space="0" w:color="auto"/>
              <w:right w:val="single" w:sz="4" w:space="0" w:color="auto"/>
            </w:tcBorders>
            <w:shd w:val="clear" w:color="auto" w:fill="auto"/>
            <w:noWrap/>
            <w:vAlign w:val="bottom"/>
            <w:hideMark/>
          </w:tcPr>
          <w:p w14:paraId="7DCAC236"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76.240.777.702</w:t>
            </w:r>
          </w:p>
        </w:tc>
        <w:tc>
          <w:tcPr>
            <w:tcW w:w="778" w:type="dxa"/>
            <w:tcBorders>
              <w:top w:val="nil"/>
              <w:left w:val="nil"/>
              <w:bottom w:val="single" w:sz="4" w:space="0" w:color="auto"/>
              <w:right w:val="single" w:sz="4" w:space="0" w:color="auto"/>
            </w:tcBorders>
            <w:shd w:val="clear" w:color="auto" w:fill="auto"/>
            <w:noWrap/>
            <w:vAlign w:val="bottom"/>
            <w:hideMark/>
          </w:tcPr>
          <w:p w14:paraId="6689823B"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1,11</w:t>
            </w:r>
          </w:p>
        </w:tc>
        <w:tc>
          <w:tcPr>
            <w:tcW w:w="769" w:type="dxa"/>
            <w:tcBorders>
              <w:top w:val="nil"/>
              <w:left w:val="nil"/>
              <w:bottom w:val="single" w:sz="4" w:space="0" w:color="auto"/>
              <w:right w:val="single" w:sz="4" w:space="0" w:color="auto"/>
            </w:tcBorders>
            <w:shd w:val="clear" w:color="auto" w:fill="auto"/>
            <w:noWrap/>
            <w:vAlign w:val="bottom"/>
            <w:hideMark/>
          </w:tcPr>
          <w:p w14:paraId="445611F0"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1,18</w:t>
            </w:r>
          </w:p>
        </w:tc>
        <w:tc>
          <w:tcPr>
            <w:tcW w:w="769" w:type="dxa"/>
            <w:tcBorders>
              <w:top w:val="nil"/>
              <w:left w:val="nil"/>
              <w:bottom w:val="single" w:sz="4" w:space="0" w:color="auto"/>
              <w:right w:val="single" w:sz="8" w:space="0" w:color="auto"/>
            </w:tcBorders>
            <w:shd w:val="clear" w:color="auto" w:fill="auto"/>
            <w:noWrap/>
            <w:vAlign w:val="bottom"/>
            <w:hideMark/>
          </w:tcPr>
          <w:p w14:paraId="34FAEB5F"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1,22</w:t>
            </w:r>
          </w:p>
        </w:tc>
      </w:tr>
      <w:tr w:rsidR="00862378" w:rsidRPr="004860F2" w14:paraId="3E855274" w14:textId="77777777" w:rsidTr="004860F2">
        <w:trPr>
          <w:trHeight w:val="187"/>
          <w:jc w:val="center"/>
        </w:trPr>
        <w:tc>
          <w:tcPr>
            <w:tcW w:w="1550"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242D2C99" w14:textId="77777777" w:rsidR="000D2E47" w:rsidRPr="004860F2" w:rsidRDefault="000D2E47" w:rsidP="00E50C17">
            <w:pPr>
              <w:spacing w:before="60" w:after="60" w:line="240" w:lineRule="auto"/>
              <w:rPr>
                <w:rFonts w:ascii="Arial" w:hAnsi="Arial" w:cs="Arial"/>
                <w:sz w:val="20"/>
                <w:szCs w:val="20"/>
              </w:rPr>
            </w:pPr>
            <w:r w:rsidRPr="004860F2">
              <w:rPr>
                <w:rFonts w:ascii="Arial" w:hAnsi="Arial" w:cs="Arial"/>
                <w:sz w:val="20"/>
                <w:szCs w:val="20"/>
              </w:rPr>
              <w:t xml:space="preserve">San Luis </w:t>
            </w:r>
          </w:p>
        </w:tc>
        <w:tc>
          <w:tcPr>
            <w:tcW w:w="1854" w:type="dxa"/>
            <w:tcBorders>
              <w:top w:val="nil"/>
              <w:left w:val="nil"/>
              <w:bottom w:val="single" w:sz="4" w:space="0" w:color="auto"/>
              <w:right w:val="single" w:sz="4" w:space="0" w:color="auto"/>
            </w:tcBorders>
            <w:shd w:val="clear" w:color="auto" w:fill="auto"/>
            <w:noWrap/>
            <w:vAlign w:val="bottom"/>
            <w:hideMark/>
          </w:tcPr>
          <w:p w14:paraId="7414A73F"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21.458.503.682</w:t>
            </w:r>
          </w:p>
        </w:tc>
        <w:tc>
          <w:tcPr>
            <w:tcW w:w="1855" w:type="dxa"/>
            <w:tcBorders>
              <w:top w:val="nil"/>
              <w:left w:val="nil"/>
              <w:bottom w:val="single" w:sz="4" w:space="0" w:color="auto"/>
              <w:right w:val="single" w:sz="4" w:space="0" w:color="auto"/>
            </w:tcBorders>
            <w:shd w:val="clear" w:color="auto" w:fill="auto"/>
            <w:noWrap/>
            <w:vAlign w:val="bottom"/>
            <w:hideMark/>
          </w:tcPr>
          <w:p w14:paraId="57610888"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30.692.451.090</w:t>
            </w:r>
          </w:p>
        </w:tc>
        <w:tc>
          <w:tcPr>
            <w:tcW w:w="1855" w:type="dxa"/>
            <w:tcBorders>
              <w:top w:val="nil"/>
              <w:left w:val="nil"/>
              <w:bottom w:val="single" w:sz="4" w:space="0" w:color="auto"/>
              <w:right w:val="single" w:sz="4" w:space="0" w:color="auto"/>
            </w:tcBorders>
            <w:shd w:val="clear" w:color="auto" w:fill="auto"/>
            <w:noWrap/>
            <w:vAlign w:val="bottom"/>
            <w:hideMark/>
          </w:tcPr>
          <w:p w14:paraId="409131EE"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44.359.081.501</w:t>
            </w:r>
          </w:p>
        </w:tc>
        <w:tc>
          <w:tcPr>
            <w:tcW w:w="778" w:type="dxa"/>
            <w:tcBorders>
              <w:top w:val="nil"/>
              <w:left w:val="nil"/>
              <w:bottom w:val="single" w:sz="4" w:space="0" w:color="auto"/>
              <w:right w:val="single" w:sz="4" w:space="0" w:color="auto"/>
            </w:tcBorders>
            <w:shd w:val="clear" w:color="auto" w:fill="auto"/>
            <w:noWrap/>
            <w:vAlign w:val="bottom"/>
            <w:hideMark/>
          </w:tcPr>
          <w:p w14:paraId="1D356037"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0,65</w:t>
            </w:r>
          </w:p>
        </w:tc>
        <w:tc>
          <w:tcPr>
            <w:tcW w:w="769" w:type="dxa"/>
            <w:tcBorders>
              <w:top w:val="nil"/>
              <w:left w:val="nil"/>
              <w:bottom w:val="single" w:sz="4" w:space="0" w:color="auto"/>
              <w:right w:val="single" w:sz="4" w:space="0" w:color="auto"/>
            </w:tcBorders>
            <w:shd w:val="clear" w:color="auto" w:fill="auto"/>
            <w:noWrap/>
            <w:vAlign w:val="bottom"/>
            <w:hideMark/>
          </w:tcPr>
          <w:p w14:paraId="23B8CEE9"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0,67</w:t>
            </w:r>
          </w:p>
        </w:tc>
        <w:tc>
          <w:tcPr>
            <w:tcW w:w="769" w:type="dxa"/>
            <w:tcBorders>
              <w:top w:val="nil"/>
              <w:left w:val="nil"/>
              <w:bottom w:val="single" w:sz="4" w:space="0" w:color="auto"/>
              <w:right w:val="single" w:sz="8" w:space="0" w:color="auto"/>
            </w:tcBorders>
            <w:shd w:val="clear" w:color="auto" w:fill="auto"/>
            <w:noWrap/>
            <w:vAlign w:val="bottom"/>
            <w:hideMark/>
          </w:tcPr>
          <w:p w14:paraId="03E68B94"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0,71</w:t>
            </w:r>
          </w:p>
        </w:tc>
      </w:tr>
      <w:tr w:rsidR="00862378" w:rsidRPr="004860F2" w14:paraId="3DE9709E" w14:textId="77777777" w:rsidTr="004860F2">
        <w:trPr>
          <w:trHeight w:val="187"/>
          <w:jc w:val="center"/>
        </w:trPr>
        <w:tc>
          <w:tcPr>
            <w:tcW w:w="1550"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1BB913FE" w14:textId="77777777" w:rsidR="000D2E47" w:rsidRPr="004860F2" w:rsidRDefault="000D2E47" w:rsidP="00E50C17">
            <w:pPr>
              <w:spacing w:before="60" w:after="60" w:line="240" w:lineRule="auto"/>
              <w:rPr>
                <w:rFonts w:ascii="Arial" w:hAnsi="Arial" w:cs="Arial"/>
                <w:sz w:val="20"/>
                <w:szCs w:val="20"/>
              </w:rPr>
            </w:pPr>
            <w:r w:rsidRPr="004860F2">
              <w:rPr>
                <w:rFonts w:ascii="Arial" w:hAnsi="Arial" w:cs="Arial"/>
                <w:sz w:val="20"/>
                <w:szCs w:val="20"/>
              </w:rPr>
              <w:t xml:space="preserve">Santa Cruz </w:t>
            </w:r>
          </w:p>
        </w:tc>
        <w:tc>
          <w:tcPr>
            <w:tcW w:w="1854" w:type="dxa"/>
            <w:tcBorders>
              <w:top w:val="nil"/>
              <w:left w:val="nil"/>
              <w:bottom w:val="single" w:sz="4" w:space="0" w:color="auto"/>
              <w:right w:val="single" w:sz="4" w:space="0" w:color="auto"/>
            </w:tcBorders>
            <w:shd w:val="clear" w:color="auto" w:fill="auto"/>
            <w:noWrap/>
            <w:vAlign w:val="bottom"/>
            <w:hideMark/>
          </w:tcPr>
          <w:p w14:paraId="2640C7AC"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26.914.004.099</w:t>
            </w:r>
          </w:p>
        </w:tc>
        <w:tc>
          <w:tcPr>
            <w:tcW w:w="1855" w:type="dxa"/>
            <w:tcBorders>
              <w:top w:val="nil"/>
              <w:left w:val="nil"/>
              <w:bottom w:val="single" w:sz="4" w:space="0" w:color="auto"/>
              <w:right w:val="single" w:sz="4" w:space="0" w:color="auto"/>
            </w:tcBorders>
            <w:shd w:val="clear" w:color="auto" w:fill="auto"/>
            <w:noWrap/>
            <w:vAlign w:val="bottom"/>
            <w:hideMark/>
          </w:tcPr>
          <w:p w14:paraId="1E38E781"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27.025.690.768</w:t>
            </w:r>
          </w:p>
        </w:tc>
        <w:tc>
          <w:tcPr>
            <w:tcW w:w="1855" w:type="dxa"/>
            <w:tcBorders>
              <w:top w:val="nil"/>
              <w:left w:val="nil"/>
              <w:bottom w:val="single" w:sz="4" w:space="0" w:color="auto"/>
              <w:right w:val="single" w:sz="4" w:space="0" w:color="auto"/>
            </w:tcBorders>
            <w:shd w:val="clear" w:color="auto" w:fill="auto"/>
            <w:noWrap/>
            <w:vAlign w:val="bottom"/>
            <w:hideMark/>
          </w:tcPr>
          <w:p w14:paraId="0816076C"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36.041.174.147</w:t>
            </w:r>
          </w:p>
        </w:tc>
        <w:tc>
          <w:tcPr>
            <w:tcW w:w="778" w:type="dxa"/>
            <w:tcBorders>
              <w:top w:val="nil"/>
              <w:left w:val="nil"/>
              <w:bottom w:val="single" w:sz="4" w:space="0" w:color="auto"/>
              <w:right w:val="single" w:sz="4" w:space="0" w:color="auto"/>
            </w:tcBorders>
            <w:shd w:val="clear" w:color="auto" w:fill="auto"/>
            <w:noWrap/>
            <w:vAlign w:val="bottom"/>
            <w:hideMark/>
          </w:tcPr>
          <w:p w14:paraId="50277F9E"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0,82</w:t>
            </w:r>
          </w:p>
        </w:tc>
        <w:tc>
          <w:tcPr>
            <w:tcW w:w="769" w:type="dxa"/>
            <w:tcBorders>
              <w:top w:val="nil"/>
              <w:left w:val="nil"/>
              <w:bottom w:val="single" w:sz="4" w:space="0" w:color="auto"/>
              <w:right w:val="single" w:sz="4" w:space="0" w:color="auto"/>
            </w:tcBorders>
            <w:shd w:val="clear" w:color="auto" w:fill="auto"/>
            <w:noWrap/>
            <w:vAlign w:val="bottom"/>
            <w:hideMark/>
          </w:tcPr>
          <w:p w14:paraId="1657B1E2"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0,59</w:t>
            </w:r>
          </w:p>
        </w:tc>
        <w:tc>
          <w:tcPr>
            <w:tcW w:w="769" w:type="dxa"/>
            <w:tcBorders>
              <w:top w:val="nil"/>
              <w:left w:val="nil"/>
              <w:bottom w:val="single" w:sz="4" w:space="0" w:color="auto"/>
              <w:right w:val="single" w:sz="8" w:space="0" w:color="auto"/>
            </w:tcBorders>
            <w:shd w:val="clear" w:color="auto" w:fill="auto"/>
            <w:noWrap/>
            <w:vAlign w:val="bottom"/>
            <w:hideMark/>
          </w:tcPr>
          <w:p w14:paraId="3D4FEAA4"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0,58</w:t>
            </w:r>
          </w:p>
        </w:tc>
      </w:tr>
      <w:tr w:rsidR="00862378" w:rsidRPr="004860F2" w14:paraId="0E29CBB0" w14:textId="77777777" w:rsidTr="004860F2">
        <w:trPr>
          <w:trHeight w:val="187"/>
          <w:jc w:val="center"/>
        </w:trPr>
        <w:tc>
          <w:tcPr>
            <w:tcW w:w="1550"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3F922B79" w14:textId="77777777" w:rsidR="000D2E47" w:rsidRPr="004860F2" w:rsidRDefault="000D2E47" w:rsidP="00E50C17">
            <w:pPr>
              <w:spacing w:before="60" w:after="60" w:line="240" w:lineRule="auto"/>
              <w:rPr>
                <w:rFonts w:ascii="Arial" w:hAnsi="Arial" w:cs="Arial"/>
                <w:sz w:val="20"/>
                <w:szCs w:val="20"/>
              </w:rPr>
            </w:pPr>
            <w:r w:rsidRPr="004860F2">
              <w:rPr>
                <w:rFonts w:ascii="Arial" w:hAnsi="Arial" w:cs="Arial"/>
                <w:sz w:val="20"/>
                <w:szCs w:val="20"/>
              </w:rPr>
              <w:t xml:space="preserve">Santa Fe </w:t>
            </w:r>
          </w:p>
        </w:tc>
        <w:tc>
          <w:tcPr>
            <w:tcW w:w="1854" w:type="dxa"/>
            <w:tcBorders>
              <w:top w:val="nil"/>
              <w:left w:val="nil"/>
              <w:bottom w:val="single" w:sz="4" w:space="0" w:color="auto"/>
              <w:right w:val="single" w:sz="4" w:space="0" w:color="auto"/>
            </w:tcBorders>
            <w:shd w:val="clear" w:color="auto" w:fill="auto"/>
            <w:noWrap/>
            <w:vAlign w:val="bottom"/>
            <w:hideMark/>
          </w:tcPr>
          <w:p w14:paraId="659AA522"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118.498.355.610</w:t>
            </w:r>
          </w:p>
        </w:tc>
        <w:tc>
          <w:tcPr>
            <w:tcW w:w="1855" w:type="dxa"/>
            <w:tcBorders>
              <w:top w:val="nil"/>
              <w:left w:val="nil"/>
              <w:bottom w:val="single" w:sz="4" w:space="0" w:color="auto"/>
              <w:right w:val="single" w:sz="4" w:space="0" w:color="auto"/>
            </w:tcBorders>
            <w:shd w:val="clear" w:color="auto" w:fill="auto"/>
            <w:noWrap/>
            <w:vAlign w:val="bottom"/>
            <w:hideMark/>
          </w:tcPr>
          <w:p w14:paraId="78BE03EE"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168.470.055.030</w:t>
            </w:r>
          </w:p>
        </w:tc>
        <w:tc>
          <w:tcPr>
            <w:tcW w:w="1855" w:type="dxa"/>
            <w:tcBorders>
              <w:top w:val="nil"/>
              <w:left w:val="nil"/>
              <w:bottom w:val="single" w:sz="4" w:space="0" w:color="auto"/>
              <w:right w:val="single" w:sz="4" w:space="0" w:color="auto"/>
            </w:tcBorders>
            <w:shd w:val="clear" w:color="auto" w:fill="auto"/>
            <w:noWrap/>
            <w:vAlign w:val="bottom"/>
            <w:hideMark/>
          </w:tcPr>
          <w:p w14:paraId="2CA9C7F5"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245.251.712.285</w:t>
            </w:r>
          </w:p>
        </w:tc>
        <w:tc>
          <w:tcPr>
            <w:tcW w:w="778" w:type="dxa"/>
            <w:tcBorders>
              <w:top w:val="nil"/>
              <w:left w:val="nil"/>
              <w:bottom w:val="single" w:sz="4" w:space="0" w:color="auto"/>
              <w:right w:val="single" w:sz="4" w:space="0" w:color="auto"/>
            </w:tcBorders>
            <w:shd w:val="clear" w:color="auto" w:fill="auto"/>
            <w:noWrap/>
            <w:vAlign w:val="bottom"/>
            <w:hideMark/>
          </w:tcPr>
          <w:p w14:paraId="0868DDA5"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3,61</w:t>
            </w:r>
          </w:p>
        </w:tc>
        <w:tc>
          <w:tcPr>
            <w:tcW w:w="769" w:type="dxa"/>
            <w:tcBorders>
              <w:top w:val="nil"/>
              <w:left w:val="nil"/>
              <w:bottom w:val="single" w:sz="4" w:space="0" w:color="auto"/>
              <w:right w:val="single" w:sz="4" w:space="0" w:color="auto"/>
            </w:tcBorders>
            <w:shd w:val="clear" w:color="auto" w:fill="auto"/>
            <w:noWrap/>
            <w:vAlign w:val="bottom"/>
            <w:hideMark/>
          </w:tcPr>
          <w:p w14:paraId="3A0BBC0A"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3,69</w:t>
            </w:r>
          </w:p>
        </w:tc>
        <w:tc>
          <w:tcPr>
            <w:tcW w:w="769" w:type="dxa"/>
            <w:tcBorders>
              <w:top w:val="nil"/>
              <w:left w:val="nil"/>
              <w:bottom w:val="single" w:sz="4" w:space="0" w:color="auto"/>
              <w:right w:val="single" w:sz="8" w:space="0" w:color="auto"/>
            </w:tcBorders>
            <w:shd w:val="clear" w:color="auto" w:fill="auto"/>
            <w:noWrap/>
            <w:vAlign w:val="bottom"/>
            <w:hideMark/>
          </w:tcPr>
          <w:p w14:paraId="6F398ED7"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3,93</w:t>
            </w:r>
          </w:p>
        </w:tc>
      </w:tr>
      <w:tr w:rsidR="00862378" w:rsidRPr="004860F2" w14:paraId="114190C3" w14:textId="77777777" w:rsidTr="004860F2">
        <w:trPr>
          <w:trHeight w:val="187"/>
          <w:jc w:val="center"/>
        </w:trPr>
        <w:tc>
          <w:tcPr>
            <w:tcW w:w="1550"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7477E2E5" w14:textId="00FF109E" w:rsidR="000D2E47" w:rsidRPr="004860F2" w:rsidRDefault="000D2E47" w:rsidP="00E50C17">
            <w:pPr>
              <w:spacing w:before="60" w:after="60" w:line="240" w:lineRule="auto"/>
              <w:rPr>
                <w:rFonts w:ascii="Arial" w:hAnsi="Arial" w:cs="Arial"/>
                <w:sz w:val="20"/>
                <w:szCs w:val="20"/>
              </w:rPr>
            </w:pPr>
            <w:proofErr w:type="spellStart"/>
            <w:r w:rsidRPr="004860F2">
              <w:rPr>
                <w:rFonts w:ascii="Arial" w:hAnsi="Arial" w:cs="Arial"/>
                <w:sz w:val="20"/>
                <w:szCs w:val="20"/>
              </w:rPr>
              <w:t>Sgo</w:t>
            </w:r>
            <w:proofErr w:type="spellEnd"/>
            <w:r w:rsidR="00862378" w:rsidRPr="004860F2">
              <w:rPr>
                <w:rFonts w:ascii="Arial" w:hAnsi="Arial" w:cs="Arial"/>
                <w:sz w:val="20"/>
                <w:szCs w:val="20"/>
              </w:rPr>
              <w:t>.</w:t>
            </w:r>
            <w:r w:rsidRPr="004860F2">
              <w:rPr>
                <w:rFonts w:ascii="Arial" w:hAnsi="Arial" w:cs="Arial"/>
                <w:sz w:val="20"/>
                <w:szCs w:val="20"/>
              </w:rPr>
              <w:t xml:space="preserve"> del Estero </w:t>
            </w:r>
          </w:p>
        </w:tc>
        <w:tc>
          <w:tcPr>
            <w:tcW w:w="1854" w:type="dxa"/>
            <w:tcBorders>
              <w:top w:val="nil"/>
              <w:left w:val="nil"/>
              <w:bottom w:val="single" w:sz="4" w:space="0" w:color="auto"/>
              <w:right w:val="single" w:sz="4" w:space="0" w:color="auto"/>
            </w:tcBorders>
            <w:shd w:val="clear" w:color="auto" w:fill="auto"/>
            <w:noWrap/>
            <w:vAlign w:val="bottom"/>
            <w:hideMark/>
          </w:tcPr>
          <w:p w14:paraId="364861BB"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38.357.474.778</w:t>
            </w:r>
          </w:p>
        </w:tc>
        <w:tc>
          <w:tcPr>
            <w:tcW w:w="1855" w:type="dxa"/>
            <w:tcBorders>
              <w:top w:val="nil"/>
              <w:left w:val="nil"/>
              <w:bottom w:val="single" w:sz="4" w:space="0" w:color="auto"/>
              <w:right w:val="single" w:sz="4" w:space="0" w:color="auto"/>
            </w:tcBorders>
            <w:shd w:val="clear" w:color="auto" w:fill="auto"/>
            <w:noWrap/>
            <w:vAlign w:val="bottom"/>
            <w:hideMark/>
          </w:tcPr>
          <w:p w14:paraId="11DA0433"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56.223.194.307</w:t>
            </w:r>
          </w:p>
        </w:tc>
        <w:tc>
          <w:tcPr>
            <w:tcW w:w="1855" w:type="dxa"/>
            <w:tcBorders>
              <w:top w:val="nil"/>
              <w:left w:val="nil"/>
              <w:bottom w:val="single" w:sz="4" w:space="0" w:color="auto"/>
              <w:right w:val="single" w:sz="4" w:space="0" w:color="auto"/>
            </w:tcBorders>
            <w:shd w:val="clear" w:color="auto" w:fill="auto"/>
            <w:noWrap/>
            <w:vAlign w:val="bottom"/>
            <w:hideMark/>
          </w:tcPr>
          <w:p w14:paraId="73DFD404"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79.757.283.941</w:t>
            </w:r>
          </w:p>
        </w:tc>
        <w:tc>
          <w:tcPr>
            <w:tcW w:w="778" w:type="dxa"/>
            <w:tcBorders>
              <w:top w:val="nil"/>
              <w:left w:val="nil"/>
              <w:bottom w:val="single" w:sz="4" w:space="0" w:color="auto"/>
              <w:right w:val="single" w:sz="4" w:space="0" w:color="auto"/>
            </w:tcBorders>
            <w:shd w:val="clear" w:color="auto" w:fill="auto"/>
            <w:noWrap/>
            <w:vAlign w:val="bottom"/>
            <w:hideMark/>
          </w:tcPr>
          <w:p w14:paraId="6CD5A632"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1,17</w:t>
            </w:r>
          </w:p>
        </w:tc>
        <w:tc>
          <w:tcPr>
            <w:tcW w:w="769" w:type="dxa"/>
            <w:tcBorders>
              <w:top w:val="nil"/>
              <w:left w:val="nil"/>
              <w:bottom w:val="single" w:sz="4" w:space="0" w:color="auto"/>
              <w:right w:val="single" w:sz="4" w:space="0" w:color="auto"/>
            </w:tcBorders>
            <w:shd w:val="clear" w:color="auto" w:fill="auto"/>
            <w:noWrap/>
            <w:vAlign w:val="bottom"/>
            <w:hideMark/>
          </w:tcPr>
          <w:p w14:paraId="5B55B909"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1,23</w:t>
            </w:r>
          </w:p>
        </w:tc>
        <w:tc>
          <w:tcPr>
            <w:tcW w:w="769" w:type="dxa"/>
            <w:tcBorders>
              <w:top w:val="nil"/>
              <w:left w:val="nil"/>
              <w:bottom w:val="single" w:sz="4" w:space="0" w:color="auto"/>
              <w:right w:val="single" w:sz="8" w:space="0" w:color="auto"/>
            </w:tcBorders>
            <w:shd w:val="clear" w:color="auto" w:fill="auto"/>
            <w:noWrap/>
            <w:vAlign w:val="bottom"/>
            <w:hideMark/>
          </w:tcPr>
          <w:p w14:paraId="02A86544"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1,28</w:t>
            </w:r>
          </w:p>
        </w:tc>
      </w:tr>
      <w:tr w:rsidR="00862378" w:rsidRPr="004860F2" w14:paraId="099FDFB4" w14:textId="77777777" w:rsidTr="004860F2">
        <w:trPr>
          <w:trHeight w:val="187"/>
          <w:jc w:val="center"/>
        </w:trPr>
        <w:tc>
          <w:tcPr>
            <w:tcW w:w="1550"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1B5B3F05" w14:textId="77777777" w:rsidR="000D2E47" w:rsidRPr="004860F2" w:rsidRDefault="000D2E47" w:rsidP="00E50C17">
            <w:pPr>
              <w:spacing w:before="60" w:after="60" w:line="240" w:lineRule="auto"/>
              <w:rPr>
                <w:rFonts w:ascii="Arial" w:hAnsi="Arial" w:cs="Arial"/>
                <w:sz w:val="20"/>
                <w:szCs w:val="20"/>
              </w:rPr>
            </w:pPr>
            <w:r w:rsidRPr="004860F2">
              <w:rPr>
                <w:rFonts w:ascii="Arial" w:hAnsi="Arial" w:cs="Arial"/>
                <w:sz w:val="20"/>
                <w:szCs w:val="20"/>
              </w:rPr>
              <w:t xml:space="preserve">Tucumán </w:t>
            </w:r>
          </w:p>
        </w:tc>
        <w:tc>
          <w:tcPr>
            <w:tcW w:w="1854" w:type="dxa"/>
            <w:tcBorders>
              <w:top w:val="nil"/>
              <w:left w:val="nil"/>
              <w:bottom w:val="single" w:sz="4" w:space="0" w:color="auto"/>
              <w:right w:val="single" w:sz="4" w:space="0" w:color="auto"/>
            </w:tcBorders>
            <w:shd w:val="clear" w:color="auto" w:fill="auto"/>
            <w:noWrap/>
            <w:vAlign w:val="bottom"/>
            <w:hideMark/>
          </w:tcPr>
          <w:p w14:paraId="168D5373"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66.243.682.614</w:t>
            </w:r>
          </w:p>
        </w:tc>
        <w:tc>
          <w:tcPr>
            <w:tcW w:w="1855" w:type="dxa"/>
            <w:tcBorders>
              <w:top w:val="nil"/>
              <w:left w:val="nil"/>
              <w:bottom w:val="single" w:sz="4" w:space="0" w:color="auto"/>
              <w:right w:val="single" w:sz="4" w:space="0" w:color="auto"/>
            </w:tcBorders>
            <w:shd w:val="clear" w:color="auto" w:fill="auto"/>
            <w:noWrap/>
            <w:vAlign w:val="bottom"/>
            <w:hideMark/>
          </w:tcPr>
          <w:p w14:paraId="46C711D5"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92.131.296.104</w:t>
            </w:r>
          </w:p>
        </w:tc>
        <w:tc>
          <w:tcPr>
            <w:tcW w:w="1855" w:type="dxa"/>
            <w:tcBorders>
              <w:top w:val="nil"/>
              <w:left w:val="nil"/>
              <w:bottom w:val="single" w:sz="4" w:space="0" w:color="auto"/>
              <w:right w:val="single" w:sz="4" w:space="0" w:color="auto"/>
            </w:tcBorders>
            <w:shd w:val="clear" w:color="auto" w:fill="auto"/>
            <w:noWrap/>
            <w:vAlign w:val="bottom"/>
            <w:hideMark/>
          </w:tcPr>
          <w:p w14:paraId="5E03F4EA"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130.021.256.627</w:t>
            </w:r>
          </w:p>
        </w:tc>
        <w:tc>
          <w:tcPr>
            <w:tcW w:w="778" w:type="dxa"/>
            <w:tcBorders>
              <w:top w:val="nil"/>
              <w:left w:val="nil"/>
              <w:bottom w:val="single" w:sz="4" w:space="0" w:color="auto"/>
              <w:right w:val="single" w:sz="4" w:space="0" w:color="auto"/>
            </w:tcBorders>
            <w:shd w:val="clear" w:color="auto" w:fill="auto"/>
            <w:noWrap/>
            <w:vAlign w:val="bottom"/>
            <w:hideMark/>
          </w:tcPr>
          <w:p w14:paraId="58D79B5C"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2,02</w:t>
            </w:r>
          </w:p>
        </w:tc>
        <w:tc>
          <w:tcPr>
            <w:tcW w:w="769" w:type="dxa"/>
            <w:tcBorders>
              <w:top w:val="nil"/>
              <w:left w:val="nil"/>
              <w:bottom w:val="single" w:sz="4" w:space="0" w:color="auto"/>
              <w:right w:val="single" w:sz="4" w:space="0" w:color="auto"/>
            </w:tcBorders>
            <w:shd w:val="clear" w:color="auto" w:fill="auto"/>
            <w:noWrap/>
            <w:vAlign w:val="bottom"/>
            <w:hideMark/>
          </w:tcPr>
          <w:p w14:paraId="626FF6E8"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2,02</w:t>
            </w:r>
          </w:p>
        </w:tc>
        <w:tc>
          <w:tcPr>
            <w:tcW w:w="769" w:type="dxa"/>
            <w:tcBorders>
              <w:top w:val="nil"/>
              <w:left w:val="nil"/>
              <w:bottom w:val="single" w:sz="4" w:space="0" w:color="auto"/>
              <w:right w:val="single" w:sz="8" w:space="0" w:color="auto"/>
            </w:tcBorders>
            <w:shd w:val="clear" w:color="auto" w:fill="auto"/>
            <w:noWrap/>
            <w:vAlign w:val="bottom"/>
            <w:hideMark/>
          </w:tcPr>
          <w:p w14:paraId="7C5FFDFD"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2,08</w:t>
            </w:r>
          </w:p>
        </w:tc>
      </w:tr>
      <w:tr w:rsidR="00862378" w:rsidRPr="004860F2" w14:paraId="05CA7CA0" w14:textId="77777777" w:rsidTr="004860F2">
        <w:trPr>
          <w:trHeight w:val="187"/>
          <w:jc w:val="center"/>
        </w:trPr>
        <w:tc>
          <w:tcPr>
            <w:tcW w:w="1550"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5555BB8E" w14:textId="53D80B0C" w:rsidR="000D2E47" w:rsidRPr="004860F2" w:rsidRDefault="000D2E47" w:rsidP="00E50C17">
            <w:pPr>
              <w:spacing w:before="60" w:after="60" w:line="240" w:lineRule="auto"/>
              <w:rPr>
                <w:rFonts w:ascii="Arial" w:hAnsi="Arial" w:cs="Arial"/>
                <w:sz w:val="20"/>
                <w:szCs w:val="20"/>
              </w:rPr>
            </w:pPr>
            <w:r w:rsidRPr="004860F2">
              <w:rPr>
                <w:rFonts w:ascii="Arial" w:hAnsi="Arial" w:cs="Arial"/>
                <w:sz w:val="20"/>
                <w:szCs w:val="20"/>
              </w:rPr>
              <w:t>T</w:t>
            </w:r>
            <w:r w:rsidR="004860F2">
              <w:rPr>
                <w:rFonts w:ascii="Arial" w:hAnsi="Arial" w:cs="Arial"/>
                <w:sz w:val="20"/>
                <w:szCs w:val="20"/>
              </w:rPr>
              <w:t>.</w:t>
            </w:r>
            <w:r w:rsidRPr="004860F2">
              <w:rPr>
                <w:rFonts w:ascii="Arial" w:hAnsi="Arial" w:cs="Arial"/>
                <w:sz w:val="20"/>
                <w:szCs w:val="20"/>
              </w:rPr>
              <w:t xml:space="preserve"> del Fuego </w:t>
            </w:r>
          </w:p>
        </w:tc>
        <w:tc>
          <w:tcPr>
            <w:tcW w:w="1854" w:type="dxa"/>
            <w:tcBorders>
              <w:top w:val="nil"/>
              <w:left w:val="nil"/>
              <w:bottom w:val="single" w:sz="4" w:space="0" w:color="auto"/>
              <w:right w:val="single" w:sz="4" w:space="0" w:color="auto"/>
            </w:tcBorders>
            <w:shd w:val="clear" w:color="auto" w:fill="auto"/>
            <w:noWrap/>
            <w:vAlign w:val="bottom"/>
            <w:hideMark/>
          </w:tcPr>
          <w:p w14:paraId="55091525"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10.152.022.362</w:t>
            </w:r>
          </w:p>
        </w:tc>
        <w:tc>
          <w:tcPr>
            <w:tcW w:w="1855" w:type="dxa"/>
            <w:tcBorders>
              <w:top w:val="nil"/>
              <w:left w:val="nil"/>
              <w:bottom w:val="single" w:sz="4" w:space="0" w:color="auto"/>
              <w:right w:val="single" w:sz="4" w:space="0" w:color="auto"/>
            </w:tcBorders>
            <w:shd w:val="clear" w:color="auto" w:fill="auto"/>
            <w:noWrap/>
            <w:vAlign w:val="bottom"/>
            <w:hideMark/>
          </w:tcPr>
          <w:p w14:paraId="587D0F1F"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12.037.663.237</w:t>
            </w:r>
          </w:p>
        </w:tc>
        <w:tc>
          <w:tcPr>
            <w:tcW w:w="1855" w:type="dxa"/>
            <w:tcBorders>
              <w:top w:val="nil"/>
              <w:left w:val="nil"/>
              <w:bottom w:val="single" w:sz="4" w:space="0" w:color="auto"/>
              <w:right w:val="single" w:sz="4" w:space="0" w:color="auto"/>
            </w:tcBorders>
            <w:shd w:val="clear" w:color="auto" w:fill="auto"/>
            <w:noWrap/>
            <w:vAlign w:val="bottom"/>
            <w:hideMark/>
          </w:tcPr>
          <w:p w14:paraId="50B9FA91"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17.549.379.300</w:t>
            </w:r>
          </w:p>
        </w:tc>
        <w:tc>
          <w:tcPr>
            <w:tcW w:w="778" w:type="dxa"/>
            <w:tcBorders>
              <w:top w:val="nil"/>
              <w:left w:val="nil"/>
              <w:bottom w:val="single" w:sz="4" w:space="0" w:color="auto"/>
              <w:right w:val="single" w:sz="4" w:space="0" w:color="auto"/>
            </w:tcBorders>
            <w:shd w:val="clear" w:color="auto" w:fill="auto"/>
            <w:noWrap/>
            <w:vAlign w:val="bottom"/>
            <w:hideMark/>
          </w:tcPr>
          <w:p w14:paraId="09CE7282"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0,31</w:t>
            </w:r>
          </w:p>
        </w:tc>
        <w:tc>
          <w:tcPr>
            <w:tcW w:w="769" w:type="dxa"/>
            <w:tcBorders>
              <w:top w:val="nil"/>
              <w:left w:val="nil"/>
              <w:bottom w:val="single" w:sz="4" w:space="0" w:color="auto"/>
              <w:right w:val="single" w:sz="4" w:space="0" w:color="auto"/>
            </w:tcBorders>
            <w:shd w:val="clear" w:color="auto" w:fill="auto"/>
            <w:noWrap/>
            <w:vAlign w:val="bottom"/>
            <w:hideMark/>
          </w:tcPr>
          <w:p w14:paraId="500B92EF"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0,26</w:t>
            </w:r>
          </w:p>
        </w:tc>
        <w:tc>
          <w:tcPr>
            <w:tcW w:w="769" w:type="dxa"/>
            <w:tcBorders>
              <w:top w:val="nil"/>
              <w:left w:val="nil"/>
              <w:bottom w:val="single" w:sz="4" w:space="0" w:color="auto"/>
              <w:right w:val="single" w:sz="8" w:space="0" w:color="auto"/>
            </w:tcBorders>
            <w:shd w:val="clear" w:color="auto" w:fill="auto"/>
            <w:noWrap/>
            <w:vAlign w:val="bottom"/>
            <w:hideMark/>
          </w:tcPr>
          <w:p w14:paraId="6710AD05"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0,28</w:t>
            </w:r>
          </w:p>
        </w:tc>
      </w:tr>
      <w:tr w:rsidR="00862378" w:rsidRPr="004860F2" w14:paraId="4666DA90" w14:textId="77777777" w:rsidTr="004860F2">
        <w:trPr>
          <w:trHeight w:val="187"/>
          <w:jc w:val="center"/>
        </w:trPr>
        <w:tc>
          <w:tcPr>
            <w:tcW w:w="1550"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441BB781" w14:textId="01514482" w:rsidR="000D2E47" w:rsidRPr="004860F2" w:rsidRDefault="000D2E47" w:rsidP="00E50C17">
            <w:pPr>
              <w:spacing w:before="60" w:after="60" w:line="240" w:lineRule="auto"/>
              <w:rPr>
                <w:rFonts w:ascii="Arial" w:hAnsi="Arial" w:cs="Arial"/>
                <w:b/>
                <w:bCs/>
                <w:sz w:val="20"/>
                <w:szCs w:val="20"/>
              </w:rPr>
            </w:pPr>
            <w:r w:rsidRPr="004860F2">
              <w:rPr>
                <w:rFonts w:ascii="Arial" w:hAnsi="Arial" w:cs="Arial"/>
                <w:b/>
                <w:bCs/>
                <w:sz w:val="20"/>
                <w:szCs w:val="20"/>
              </w:rPr>
              <w:t>Total g</w:t>
            </w:r>
            <w:r w:rsidR="004860F2">
              <w:rPr>
                <w:rFonts w:ascii="Arial" w:hAnsi="Arial" w:cs="Arial"/>
                <w:b/>
                <w:bCs/>
                <w:sz w:val="20"/>
                <w:szCs w:val="20"/>
              </w:rPr>
              <w:t>as</w:t>
            </w:r>
            <w:r w:rsidRPr="004860F2">
              <w:rPr>
                <w:rFonts w:ascii="Arial" w:hAnsi="Arial" w:cs="Arial"/>
                <w:b/>
                <w:bCs/>
                <w:sz w:val="20"/>
                <w:szCs w:val="20"/>
              </w:rPr>
              <w:t xml:space="preserve">to </w:t>
            </w:r>
            <w:r w:rsidR="00862378" w:rsidRPr="004860F2">
              <w:rPr>
                <w:rFonts w:ascii="Arial" w:hAnsi="Arial" w:cs="Arial"/>
                <w:b/>
                <w:bCs/>
                <w:sz w:val="20"/>
                <w:szCs w:val="20"/>
              </w:rPr>
              <w:t>x</w:t>
            </w:r>
            <w:r w:rsidRPr="004860F2">
              <w:rPr>
                <w:rFonts w:ascii="Arial" w:hAnsi="Arial" w:cs="Arial"/>
                <w:b/>
                <w:bCs/>
                <w:sz w:val="20"/>
                <w:szCs w:val="20"/>
              </w:rPr>
              <w:t xml:space="preserve"> juri</w:t>
            </w:r>
            <w:r w:rsidR="00862378" w:rsidRPr="004860F2">
              <w:rPr>
                <w:rFonts w:ascii="Arial" w:hAnsi="Arial" w:cs="Arial"/>
                <w:b/>
                <w:bCs/>
                <w:sz w:val="20"/>
                <w:szCs w:val="20"/>
              </w:rPr>
              <w:t>s</w:t>
            </w:r>
            <w:r w:rsidR="004860F2">
              <w:rPr>
                <w:rFonts w:ascii="Arial" w:hAnsi="Arial" w:cs="Arial"/>
                <w:b/>
                <w:bCs/>
                <w:sz w:val="20"/>
                <w:szCs w:val="20"/>
              </w:rPr>
              <w:t>dicción</w:t>
            </w:r>
          </w:p>
        </w:tc>
        <w:tc>
          <w:tcPr>
            <w:tcW w:w="1854" w:type="dxa"/>
            <w:tcBorders>
              <w:top w:val="nil"/>
              <w:left w:val="nil"/>
              <w:bottom w:val="single" w:sz="4" w:space="0" w:color="auto"/>
              <w:right w:val="single" w:sz="4" w:space="0" w:color="auto"/>
            </w:tcBorders>
            <w:shd w:val="clear" w:color="auto" w:fill="auto"/>
            <w:noWrap/>
            <w:vAlign w:val="bottom"/>
            <w:hideMark/>
          </w:tcPr>
          <w:p w14:paraId="765B9E3C" w14:textId="77777777" w:rsidR="000D2E47" w:rsidRPr="004860F2" w:rsidRDefault="000D2E47" w:rsidP="004860F2">
            <w:pPr>
              <w:spacing w:before="60" w:after="60" w:line="360" w:lineRule="auto"/>
              <w:jc w:val="right"/>
              <w:rPr>
                <w:rFonts w:ascii="Arial" w:hAnsi="Arial" w:cs="Arial"/>
                <w:b/>
                <w:bCs/>
                <w:sz w:val="20"/>
                <w:szCs w:val="20"/>
              </w:rPr>
            </w:pPr>
            <w:r w:rsidRPr="004860F2">
              <w:rPr>
                <w:rFonts w:ascii="Arial" w:hAnsi="Arial" w:cs="Arial"/>
                <w:b/>
                <w:bCs/>
                <w:sz w:val="20"/>
                <w:szCs w:val="20"/>
              </w:rPr>
              <w:t>2.312.665.706.372</w:t>
            </w:r>
          </w:p>
        </w:tc>
        <w:tc>
          <w:tcPr>
            <w:tcW w:w="1855" w:type="dxa"/>
            <w:tcBorders>
              <w:top w:val="nil"/>
              <w:left w:val="nil"/>
              <w:bottom w:val="single" w:sz="4" w:space="0" w:color="auto"/>
              <w:right w:val="single" w:sz="4" w:space="0" w:color="auto"/>
            </w:tcBorders>
            <w:shd w:val="clear" w:color="auto" w:fill="auto"/>
            <w:noWrap/>
            <w:vAlign w:val="bottom"/>
            <w:hideMark/>
          </w:tcPr>
          <w:p w14:paraId="33D263DA" w14:textId="77777777" w:rsidR="000D2E47" w:rsidRPr="004860F2" w:rsidRDefault="000D2E47" w:rsidP="004860F2">
            <w:pPr>
              <w:spacing w:before="60" w:after="60" w:line="360" w:lineRule="auto"/>
              <w:jc w:val="right"/>
              <w:rPr>
                <w:rFonts w:ascii="Arial" w:hAnsi="Arial" w:cs="Arial"/>
                <w:b/>
                <w:bCs/>
                <w:sz w:val="20"/>
                <w:szCs w:val="20"/>
              </w:rPr>
            </w:pPr>
            <w:r w:rsidRPr="004860F2">
              <w:rPr>
                <w:rFonts w:ascii="Arial" w:hAnsi="Arial" w:cs="Arial"/>
                <w:b/>
                <w:bCs/>
                <w:sz w:val="20"/>
                <w:szCs w:val="20"/>
              </w:rPr>
              <w:t>3.159.869.890.360</w:t>
            </w:r>
          </w:p>
        </w:tc>
        <w:tc>
          <w:tcPr>
            <w:tcW w:w="1855" w:type="dxa"/>
            <w:tcBorders>
              <w:top w:val="nil"/>
              <w:left w:val="nil"/>
              <w:bottom w:val="single" w:sz="4" w:space="0" w:color="auto"/>
              <w:right w:val="single" w:sz="4" w:space="0" w:color="auto"/>
            </w:tcBorders>
            <w:shd w:val="clear" w:color="auto" w:fill="auto"/>
            <w:noWrap/>
            <w:vAlign w:val="bottom"/>
            <w:hideMark/>
          </w:tcPr>
          <w:p w14:paraId="294D6602" w14:textId="77777777" w:rsidR="000D2E47" w:rsidRPr="004860F2" w:rsidRDefault="000D2E47" w:rsidP="004860F2">
            <w:pPr>
              <w:spacing w:before="60" w:after="60" w:line="360" w:lineRule="auto"/>
              <w:jc w:val="right"/>
              <w:rPr>
                <w:rFonts w:ascii="Arial" w:hAnsi="Arial" w:cs="Arial"/>
                <w:b/>
                <w:bCs/>
                <w:sz w:val="20"/>
                <w:szCs w:val="20"/>
              </w:rPr>
            </w:pPr>
            <w:r w:rsidRPr="004860F2">
              <w:rPr>
                <w:rFonts w:ascii="Arial" w:hAnsi="Arial" w:cs="Arial"/>
                <w:b/>
                <w:bCs/>
                <w:sz w:val="20"/>
                <w:szCs w:val="20"/>
              </w:rPr>
              <w:t>4.455.516.968.768</w:t>
            </w:r>
          </w:p>
        </w:tc>
        <w:tc>
          <w:tcPr>
            <w:tcW w:w="778" w:type="dxa"/>
            <w:tcBorders>
              <w:top w:val="nil"/>
              <w:left w:val="nil"/>
              <w:bottom w:val="single" w:sz="4" w:space="0" w:color="auto"/>
              <w:right w:val="single" w:sz="4" w:space="0" w:color="auto"/>
            </w:tcBorders>
            <w:shd w:val="clear" w:color="auto" w:fill="auto"/>
            <w:noWrap/>
            <w:vAlign w:val="bottom"/>
            <w:hideMark/>
          </w:tcPr>
          <w:p w14:paraId="194F1CF7" w14:textId="77777777" w:rsidR="000D2E47" w:rsidRPr="004860F2" w:rsidRDefault="000D2E47" w:rsidP="004860F2">
            <w:pPr>
              <w:spacing w:before="60" w:after="60" w:line="360" w:lineRule="auto"/>
              <w:jc w:val="right"/>
              <w:rPr>
                <w:rFonts w:ascii="Arial" w:hAnsi="Arial" w:cs="Arial"/>
                <w:b/>
                <w:bCs/>
                <w:sz w:val="20"/>
                <w:szCs w:val="20"/>
              </w:rPr>
            </w:pPr>
            <w:r w:rsidRPr="004860F2">
              <w:rPr>
                <w:rFonts w:ascii="Arial" w:hAnsi="Arial" w:cs="Arial"/>
                <w:b/>
                <w:bCs/>
                <w:sz w:val="20"/>
                <w:szCs w:val="20"/>
              </w:rPr>
              <w:t>70,37</w:t>
            </w:r>
          </w:p>
        </w:tc>
        <w:tc>
          <w:tcPr>
            <w:tcW w:w="769" w:type="dxa"/>
            <w:tcBorders>
              <w:top w:val="nil"/>
              <w:left w:val="nil"/>
              <w:bottom w:val="single" w:sz="4" w:space="0" w:color="auto"/>
              <w:right w:val="single" w:sz="4" w:space="0" w:color="auto"/>
            </w:tcBorders>
            <w:shd w:val="clear" w:color="auto" w:fill="auto"/>
            <w:noWrap/>
            <w:vAlign w:val="bottom"/>
            <w:hideMark/>
          </w:tcPr>
          <w:p w14:paraId="0B16F917" w14:textId="77777777" w:rsidR="000D2E47" w:rsidRPr="004860F2" w:rsidRDefault="000D2E47" w:rsidP="004860F2">
            <w:pPr>
              <w:spacing w:before="60" w:after="60" w:line="360" w:lineRule="auto"/>
              <w:jc w:val="right"/>
              <w:rPr>
                <w:rFonts w:ascii="Arial" w:hAnsi="Arial" w:cs="Arial"/>
                <w:b/>
                <w:bCs/>
                <w:sz w:val="20"/>
                <w:szCs w:val="20"/>
              </w:rPr>
            </w:pPr>
            <w:r w:rsidRPr="004860F2">
              <w:rPr>
                <w:rFonts w:ascii="Arial" w:hAnsi="Arial" w:cs="Arial"/>
                <w:b/>
                <w:bCs/>
                <w:sz w:val="20"/>
                <w:szCs w:val="20"/>
              </w:rPr>
              <w:t>69,19</w:t>
            </w:r>
          </w:p>
        </w:tc>
        <w:tc>
          <w:tcPr>
            <w:tcW w:w="769" w:type="dxa"/>
            <w:tcBorders>
              <w:top w:val="nil"/>
              <w:left w:val="nil"/>
              <w:bottom w:val="single" w:sz="4" w:space="0" w:color="auto"/>
              <w:right w:val="single" w:sz="8" w:space="0" w:color="auto"/>
            </w:tcBorders>
            <w:shd w:val="clear" w:color="auto" w:fill="auto"/>
            <w:noWrap/>
            <w:vAlign w:val="bottom"/>
            <w:hideMark/>
          </w:tcPr>
          <w:p w14:paraId="0B5E942B" w14:textId="77777777" w:rsidR="000D2E47" w:rsidRPr="004860F2" w:rsidRDefault="000D2E47" w:rsidP="004860F2">
            <w:pPr>
              <w:spacing w:before="60" w:after="60" w:line="360" w:lineRule="auto"/>
              <w:jc w:val="right"/>
              <w:rPr>
                <w:rFonts w:ascii="Arial" w:hAnsi="Arial" w:cs="Arial"/>
                <w:b/>
                <w:bCs/>
                <w:sz w:val="20"/>
                <w:szCs w:val="20"/>
              </w:rPr>
            </w:pPr>
            <w:r w:rsidRPr="004860F2">
              <w:rPr>
                <w:rFonts w:ascii="Arial" w:hAnsi="Arial" w:cs="Arial"/>
                <w:b/>
                <w:bCs/>
                <w:sz w:val="20"/>
                <w:szCs w:val="20"/>
              </w:rPr>
              <w:t>71,31</w:t>
            </w:r>
          </w:p>
        </w:tc>
      </w:tr>
      <w:tr w:rsidR="00862378" w:rsidRPr="004860F2" w14:paraId="72C54A83" w14:textId="77777777" w:rsidTr="004860F2">
        <w:trPr>
          <w:trHeight w:val="187"/>
          <w:jc w:val="center"/>
        </w:trPr>
        <w:tc>
          <w:tcPr>
            <w:tcW w:w="1550"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72DB8ED7" w14:textId="77777777" w:rsidR="000D2E47" w:rsidRPr="004860F2" w:rsidRDefault="000D2E47" w:rsidP="00E50C17">
            <w:pPr>
              <w:spacing w:before="60" w:after="60" w:line="240" w:lineRule="auto"/>
              <w:rPr>
                <w:rFonts w:ascii="Arial" w:hAnsi="Arial" w:cs="Arial"/>
                <w:sz w:val="20"/>
                <w:szCs w:val="20"/>
              </w:rPr>
            </w:pPr>
            <w:r w:rsidRPr="004860F2">
              <w:rPr>
                <w:rFonts w:ascii="Arial" w:hAnsi="Arial" w:cs="Arial"/>
                <w:sz w:val="20"/>
                <w:szCs w:val="20"/>
              </w:rPr>
              <w:t xml:space="preserve">Interprovincial </w:t>
            </w:r>
          </w:p>
        </w:tc>
        <w:tc>
          <w:tcPr>
            <w:tcW w:w="1854" w:type="dxa"/>
            <w:tcBorders>
              <w:top w:val="nil"/>
              <w:left w:val="nil"/>
              <w:bottom w:val="single" w:sz="4" w:space="0" w:color="auto"/>
              <w:right w:val="single" w:sz="4" w:space="0" w:color="auto"/>
            </w:tcBorders>
            <w:shd w:val="clear" w:color="000000" w:fill="FFFFFF"/>
            <w:vAlign w:val="center"/>
            <w:hideMark/>
          </w:tcPr>
          <w:p w14:paraId="6C03C7B6"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138.592.766.416</w:t>
            </w:r>
          </w:p>
        </w:tc>
        <w:tc>
          <w:tcPr>
            <w:tcW w:w="1855" w:type="dxa"/>
            <w:tcBorders>
              <w:top w:val="nil"/>
              <w:left w:val="nil"/>
              <w:bottom w:val="single" w:sz="4" w:space="0" w:color="auto"/>
              <w:right w:val="single" w:sz="4" w:space="0" w:color="auto"/>
            </w:tcBorders>
            <w:shd w:val="clear" w:color="auto" w:fill="auto"/>
            <w:noWrap/>
            <w:vAlign w:val="bottom"/>
            <w:hideMark/>
          </w:tcPr>
          <w:p w14:paraId="681189D3"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113.538.760.214</w:t>
            </w:r>
          </w:p>
        </w:tc>
        <w:tc>
          <w:tcPr>
            <w:tcW w:w="1855" w:type="dxa"/>
            <w:tcBorders>
              <w:top w:val="nil"/>
              <w:left w:val="nil"/>
              <w:bottom w:val="single" w:sz="4" w:space="0" w:color="auto"/>
              <w:right w:val="single" w:sz="4" w:space="0" w:color="auto"/>
            </w:tcBorders>
            <w:shd w:val="clear" w:color="auto" w:fill="auto"/>
            <w:noWrap/>
            <w:vAlign w:val="bottom"/>
            <w:hideMark/>
          </w:tcPr>
          <w:p w14:paraId="03E15579"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140.766.773.687</w:t>
            </w:r>
          </w:p>
        </w:tc>
        <w:tc>
          <w:tcPr>
            <w:tcW w:w="778" w:type="dxa"/>
            <w:tcBorders>
              <w:top w:val="nil"/>
              <w:left w:val="nil"/>
              <w:bottom w:val="single" w:sz="4" w:space="0" w:color="auto"/>
              <w:right w:val="single" w:sz="4" w:space="0" w:color="auto"/>
            </w:tcBorders>
            <w:shd w:val="clear" w:color="auto" w:fill="auto"/>
            <w:noWrap/>
            <w:vAlign w:val="bottom"/>
            <w:hideMark/>
          </w:tcPr>
          <w:p w14:paraId="7698B30F"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4,22</w:t>
            </w:r>
          </w:p>
        </w:tc>
        <w:tc>
          <w:tcPr>
            <w:tcW w:w="769" w:type="dxa"/>
            <w:tcBorders>
              <w:top w:val="nil"/>
              <w:left w:val="nil"/>
              <w:bottom w:val="single" w:sz="4" w:space="0" w:color="auto"/>
              <w:right w:val="single" w:sz="4" w:space="0" w:color="auto"/>
            </w:tcBorders>
            <w:shd w:val="clear" w:color="auto" w:fill="auto"/>
            <w:noWrap/>
            <w:vAlign w:val="bottom"/>
            <w:hideMark/>
          </w:tcPr>
          <w:p w14:paraId="5B1A37D0"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2,49</w:t>
            </w:r>
          </w:p>
        </w:tc>
        <w:tc>
          <w:tcPr>
            <w:tcW w:w="769" w:type="dxa"/>
            <w:tcBorders>
              <w:top w:val="nil"/>
              <w:left w:val="nil"/>
              <w:bottom w:val="single" w:sz="4" w:space="0" w:color="auto"/>
              <w:right w:val="single" w:sz="8" w:space="0" w:color="auto"/>
            </w:tcBorders>
            <w:shd w:val="clear" w:color="auto" w:fill="auto"/>
            <w:noWrap/>
            <w:vAlign w:val="bottom"/>
            <w:hideMark/>
          </w:tcPr>
          <w:p w14:paraId="17DC2006"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2,25</w:t>
            </w:r>
          </w:p>
        </w:tc>
      </w:tr>
      <w:tr w:rsidR="00862378" w:rsidRPr="004860F2" w14:paraId="5028CFF3" w14:textId="77777777" w:rsidTr="004860F2">
        <w:trPr>
          <w:trHeight w:val="187"/>
          <w:jc w:val="center"/>
        </w:trPr>
        <w:tc>
          <w:tcPr>
            <w:tcW w:w="1550"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15C8769C" w14:textId="77777777" w:rsidR="000D2E47" w:rsidRPr="004860F2" w:rsidRDefault="000D2E47" w:rsidP="00E50C17">
            <w:pPr>
              <w:spacing w:before="60" w:after="60" w:line="240" w:lineRule="auto"/>
              <w:rPr>
                <w:rFonts w:ascii="Arial" w:hAnsi="Arial" w:cs="Arial"/>
                <w:sz w:val="20"/>
                <w:szCs w:val="20"/>
              </w:rPr>
            </w:pPr>
            <w:r w:rsidRPr="004860F2">
              <w:rPr>
                <w:rFonts w:ascii="Arial" w:hAnsi="Arial" w:cs="Arial"/>
                <w:sz w:val="20"/>
                <w:szCs w:val="20"/>
              </w:rPr>
              <w:t xml:space="preserve">Nacional </w:t>
            </w:r>
          </w:p>
        </w:tc>
        <w:tc>
          <w:tcPr>
            <w:tcW w:w="1854" w:type="dxa"/>
            <w:tcBorders>
              <w:top w:val="nil"/>
              <w:left w:val="nil"/>
              <w:bottom w:val="single" w:sz="4" w:space="0" w:color="auto"/>
              <w:right w:val="single" w:sz="4" w:space="0" w:color="auto"/>
            </w:tcBorders>
            <w:shd w:val="clear" w:color="000000" w:fill="FFFFFF"/>
            <w:vAlign w:val="center"/>
            <w:hideMark/>
          </w:tcPr>
          <w:p w14:paraId="467AEB41"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530.579.973.918</w:t>
            </w:r>
          </w:p>
        </w:tc>
        <w:tc>
          <w:tcPr>
            <w:tcW w:w="1855" w:type="dxa"/>
            <w:tcBorders>
              <w:top w:val="nil"/>
              <w:left w:val="nil"/>
              <w:bottom w:val="single" w:sz="4" w:space="0" w:color="auto"/>
              <w:right w:val="single" w:sz="4" w:space="0" w:color="auto"/>
            </w:tcBorders>
            <w:shd w:val="clear" w:color="auto" w:fill="auto"/>
            <w:noWrap/>
            <w:vAlign w:val="bottom"/>
            <w:hideMark/>
          </w:tcPr>
          <w:p w14:paraId="749FF95F"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720.046.715.507</w:t>
            </w:r>
          </w:p>
        </w:tc>
        <w:tc>
          <w:tcPr>
            <w:tcW w:w="1855" w:type="dxa"/>
            <w:tcBorders>
              <w:top w:val="nil"/>
              <w:left w:val="nil"/>
              <w:bottom w:val="single" w:sz="4" w:space="0" w:color="auto"/>
              <w:right w:val="single" w:sz="4" w:space="0" w:color="auto"/>
            </w:tcBorders>
            <w:shd w:val="clear" w:color="auto" w:fill="auto"/>
            <w:noWrap/>
            <w:vAlign w:val="bottom"/>
            <w:hideMark/>
          </w:tcPr>
          <w:p w14:paraId="382EACC5"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788.104.576.117</w:t>
            </w:r>
          </w:p>
        </w:tc>
        <w:tc>
          <w:tcPr>
            <w:tcW w:w="778" w:type="dxa"/>
            <w:tcBorders>
              <w:top w:val="nil"/>
              <w:left w:val="nil"/>
              <w:bottom w:val="single" w:sz="4" w:space="0" w:color="auto"/>
              <w:right w:val="single" w:sz="4" w:space="0" w:color="auto"/>
            </w:tcBorders>
            <w:shd w:val="clear" w:color="auto" w:fill="auto"/>
            <w:noWrap/>
            <w:vAlign w:val="bottom"/>
            <w:hideMark/>
          </w:tcPr>
          <w:p w14:paraId="71A6D3C3"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16,14</w:t>
            </w:r>
          </w:p>
        </w:tc>
        <w:tc>
          <w:tcPr>
            <w:tcW w:w="769" w:type="dxa"/>
            <w:tcBorders>
              <w:top w:val="nil"/>
              <w:left w:val="nil"/>
              <w:bottom w:val="single" w:sz="4" w:space="0" w:color="auto"/>
              <w:right w:val="single" w:sz="4" w:space="0" w:color="auto"/>
            </w:tcBorders>
            <w:shd w:val="clear" w:color="auto" w:fill="auto"/>
            <w:noWrap/>
            <w:vAlign w:val="bottom"/>
            <w:hideMark/>
          </w:tcPr>
          <w:p w14:paraId="2816C3A5"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15,77</w:t>
            </w:r>
          </w:p>
        </w:tc>
        <w:tc>
          <w:tcPr>
            <w:tcW w:w="769" w:type="dxa"/>
            <w:tcBorders>
              <w:top w:val="nil"/>
              <w:left w:val="nil"/>
              <w:bottom w:val="single" w:sz="4" w:space="0" w:color="auto"/>
              <w:right w:val="single" w:sz="8" w:space="0" w:color="auto"/>
            </w:tcBorders>
            <w:shd w:val="clear" w:color="auto" w:fill="auto"/>
            <w:noWrap/>
            <w:vAlign w:val="bottom"/>
            <w:hideMark/>
          </w:tcPr>
          <w:p w14:paraId="0C5C68B0"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12,61</w:t>
            </w:r>
          </w:p>
        </w:tc>
      </w:tr>
      <w:tr w:rsidR="00862378" w:rsidRPr="007148A6" w14:paraId="5F32DB05" w14:textId="77777777" w:rsidTr="004860F2">
        <w:trPr>
          <w:trHeight w:val="187"/>
          <w:jc w:val="center"/>
        </w:trPr>
        <w:tc>
          <w:tcPr>
            <w:tcW w:w="1550"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48BE76F7" w14:textId="77777777" w:rsidR="000D2E47" w:rsidRPr="007148A6" w:rsidRDefault="000D2E47" w:rsidP="00E50C17">
            <w:pPr>
              <w:spacing w:before="60" w:after="60" w:line="240" w:lineRule="auto"/>
              <w:rPr>
                <w:rFonts w:ascii="Arial" w:hAnsi="Arial" w:cs="Arial"/>
              </w:rPr>
            </w:pPr>
            <w:r w:rsidRPr="007148A6">
              <w:rPr>
                <w:rFonts w:ascii="Arial" w:hAnsi="Arial" w:cs="Arial"/>
              </w:rPr>
              <w:t xml:space="preserve">Binacional </w:t>
            </w:r>
          </w:p>
        </w:tc>
        <w:tc>
          <w:tcPr>
            <w:tcW w:w="1854" w:type="dxa"/>
            <w:tcBorders>
              <w:top w:val="nil"/>
              <w:left w:val="nil"/>
              <w:bottom w:val="single" w:sz="4" w:space="0" w:color="auto"/>
              <w:right w:val="single" w:sz="4" w:space="0" w:color="auto"/>
            </w:tcBorders>
            <w:shd w:val="clear" w:color="000000" w:fill="FFFFFF"/>
            <w:vAlign w:val="center"/>
            <w:hideMark/>
          </w:tcPr>
          <w:p w14:paraId="4DE6CBD4" w14:textId="77777777" w:rsidR="000D2E47" w:rsidRPr="007148A6" w:rsidRDefault="000D2E47" w:rsidP="00E50C17">
            <w:pPr>
              <w:spacing w:before="60" w:after="60" w:line="240" w:lineRule="auto"/>
              <w:jc w:val="right"/>
              <w:rPr>
                <w:rFonts w:ascii="Arial" w:hAnsi="Arial" w:cs="Arial"/>
              </w:rPr>
            </w:pPr>
            <w:r w:rsidRPr="007148A6">
              <w:rPr>
                <w:rFonts w:ascii="Arial" w:hAnsi="Arial" w:cs="Arial"/>
              </w:rPr>
              <w:t>1.167.600.151</w:t>
            </w:r>
          </w:p>
        </w:tc>
        <w:tc>
          <w:tcPr>
            <w:tcW w:w="1855" w:type="dxa"/>
            <w:tcBorders>
              <w:top w:val="nil"/>
              <w:left w:val="nil"/>
              <w:bottom w:val="single" w:sz="4" w:space="0" w:color="auto"/>
              <w:right w:val="single" w:sz="4" w:space="0" w:color="auto"/>
            </w:tcBorders>
            <w:shd w:val="clear" w:color="auto" w:fill="auto"/>
            <w:noWrap/>
            <w:vAlign w:val="bottom"/>
            <w:hideMark/>
          </w:tcPr>
          <w:p w14:paraId="2A2665A6" w14:textId="77777777" w:rsidR="000D2E47" w:rsidRPr="007148A6" w:rsidRDefault="000D2E47" w:rsidP="00E50C17">
            <w:pPr>
              <w:spacing w:before="60" w:after="60" w:line="240" w:lineRule="auto"/>
              <w:jc w:val="right"/>
              <w:rPr>
                <w:rFonts w:ascii="Arial" w:hAnsi="Arial" w:cs="Arial"/>
              </w:rPr>
            </w:pPr>
            <w:r w:rsidRPr="007148A6">
              <w:rPr>
                <w:rFonts w:ascii="Arial" w:hAnsi="Arial" w:cs="Arial"/>
              </w:rPr>
              <w:t>3.831.824.508</w:t>
            </w:r>
          </w:p>
        </w:tc>
        <w:tc>
          <w:tcPr>
            <w:tcW w:w="1855" w:type="dxa"/>
            <w:tcBorders>
              <w:top w:val="nil"/>
              <w:left w:val="nil"/>
              <w:bottom w:val="single" w:sz="4" w:space="0" w:color="auto"/>
              <w:right w:val="single" w:sz="4" w:space="0" w:color="auto"/>
            </w:tcBorders>
            <w:shd w:val="clear" w:color="auto" w:fill="auto"/>
            <w:noWrap/>
            <w:vAlign w:val="bottom"/>
            <w:hideMark/>
          </w:tcPr>
          <w:p w14:paraId="1E165EC8" w14:textId="77777777" w:rsidR="000D2E47" w:rsidRPr="007148A6" w:rsidRDefault="000D2E47" w:rsidP="00E50C17">
            <w:pPr>
              <w:spacing w:before="60" w:after="60" w:line="240" w:lineRule="auto"/>
              <w:jc w:val="right"/>
              <w:rPr>
                <w:rFonts w:ascii="Arial" w:hAnsi="Arial" w:cs="Arial"/>
              </w:rPr>
            </w:pPr>
            <w:r w:rsidRPr="007148A6">
              <w:rPr>
                <w:rFonts w:ascii="Arial" w:hAnsi="Arial" w:cs="Arial"/>
              </w:rPr>
              <w:t>5.174.490.906</w:t>
            </w:r>
          </w:p>
        </w:tc>
        <w:tc>
          <w:tcPr>
            <w:tcW w:w="778" w:type="dxa"/>
            <w:tcBorders>
              <w:top w:val="nil"/>
              <w:left w:val="nil"/>
              <w:bottom w:val="single" w:sz="4" w:space="0" w:color="auto"/>
              <w:right w:val="single" w:sz="4" w:space="0" w:color="auto"/>
            </w:tcBorders>
            <w:shd w:val="clear" w:color="auto" w:fill="auto"/>
            <w:noWrap/>
            <w:vAlign w:val="bottom"/>
            <w:hideMark/>
          </w:tcPr>
          <w:p w14:paraId="5B3EF173" w14:textId="77777777" w:rsidR="000D2E47" w:rsidRPr="007148A6" w:rsidRDefault="000D2E47" w:rsidP="00E50C17">
            <w:pPr>
              <w:spacing w:before="60" w:after="60" w:line="240" w:lineRule="auto"/>
              <w:jc w:val="right"/>
              <w:rPr>
                <w:rFonts w:ascii="Arial" w:hAnsi="Arial" w:cs="Arial"/>
              </w:rPr>
            </w:pPr>
            <w:r w:rsidRPr="007148A6">
              <w:rPr>
                <w:rFonts w:ascii="Arial" w:hAnsi="Arial" w:cs="Arial"/>
              </w:rPr>
              <w:t>0,04</w:t>
            </w:r>
          </w:p>
        </w:tc>
        <w:tc>
          <w:tcPr>
            <w:tcW w:w="769" w:type="dxa"/>
            <w:tcBorders>
              <w:top w:val="nil"/>
              <w:left w:val="nil"/>
              <w:bottom w:val="single" w:sz="4" w:space="0" w:color="auto"/>
              <w:right w:val="single" w:sz="4" w:space="0" w:color="auto"/>
            </w:tcBorders>
            <w:shd w:val="clear" w:color="auto" w:fill="auto"/>
            <w:noWrap/>
            <w:vAlign w:val="bottom"/>
            <w:hideMark/>
          </w:tcPr>
          <w:p w14:paraId="18C1BDF8" w14:textId="77777777" w:rsidR="000D2E47" w:rsidRPr="007148A6" w:rsidRDefault="000D2E47" w:rsidP="00E50C17">
            <w:pPr>
              <w:spacing w:before="60" w:after="60" w:line="240" w:lineRule="auto"/>
              <w:jc w:val="right"/>
              <w:rPr>
                <w:rFonts w:ascii="Arial" w:hAnsi="Arial" w:cs="Arial"/>
              </w:rPr>
            </w:pPr>
            <w:r w:rsidRPr="007148A6">
              <w:rPr>
                <w:rFonts w:ascii="Arial" w:hAnsi="Arial" w:cs="Arial"/>
              </w:rPr>
              <w:t>0,08</w:t>
            </w:r>
          </w:p>
        </w:tc>
        <w:tc>
          <w:tcPr>
            <w:tcW w:w="769" w:type="dxa"/>
            <w:tcBorders>
              <w:top w:val="nil"/>
              <w:left w:val="nil"/>
              <w:bottom w:val="single" w:sz="4" w:space="0" w:color="auto"/>
              <w:right w:val="single" w:sz="8" w:space="0" w:color="auto"/>
            </w:tcBorders>
            <w:shd w:val="clear" w:color="auto" w:fill="auto"/>
            <w:noWrap/>
            <w:vAlign w:val="bottom"/>
            <w:hideMark/>
          </w:tcPr>
          <w:p w14:paraId="5BA189DD" w14:textId="77777777" w:rsidR="000D2E47" w:rsidRPr="007148A6" w:rsidRDefault="000D2E47" w:rsidP="00E50C17">
            <w:pPr>
              <w:spacing w:before="60" w:after="60" w:line="240" w:lineRule="auto"/>
              <w:jc w:val="right"/>
              <w:rPr>
                <w:rFonts w:ascii="Arial" w:hAnsi="Arial" w:cs="Arial"/>
              </w:rPr>
            </w:pPr>
            <w:r w:rsidRPr="007148A6">
              <w:rPr>
                <w:rFonts w:ascii="Arial" w:hAnsi="Arial" w:cs="Arial"/>
              </w:rPr>
              <w:t>0,08</w:t>
            </w:r>
          </w:p>
        </w:tc>
      </w:tr>
      <w:tr w:rsidR="00862378" w:rsidRPr="007148A6" w14:paraId="3570DEE2" w14:textId="77777777" w:rsidTr="004860F2">
        <w:trPr>
          <w:trHeight w:val="187"/>
          <w:jc w:val="center"/>
        </w:trPr>
        <w:tc>
          <w:tcPr>
            <w:tcW w:w="1550"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3D0932B2" w14:textId="77777777" w:rsidR="000D2E47" w:rsidRPr="007148A6" w:rsidRDefault="000D2E47" w:rsidP="00E50C17">
            <w:pPr>
              <w:spacing w:before="60" w:after="60" w:line="240" w:lineRule="auto"/>
              <w:rPr>
                <w:rFonts w:ascii="Arial" w:hAnsi="Arial" w:cs="Arial"/>
              </w:rPr>
            </w:pPr>
            <w:r w:rsidRPr="007148A6">
              <w:rPr>
                <w:rFonts w:ascii="Arial" w:hAnsi="Arial" w:cs="Arial"/>
              </w:rPr>
              <w:t xml:space="preserve">No Clasificado </w:t>
            </w:r>
          </w:p>
        </w:tc>
        <w:tc>
          <w:tcPr>
            <w:tcW w:w="1854" w:type="dxa"/>
            <w:tcBorders>
              <w:top w:val="nil"/>
              <w:left w:val="nil"/>
              <w:bottom w:val="single" w:sz="4" w:space="0" w:color="auto"/>
              <w:right w:val="single" w:sz="4" w:space="0" w:color="auto"/>
            </w:tcBorders>
            <w:shd w:val="clear" w:color="000000" w:fill="FFFFFF"/>
            <w:vAlign w:val="center"/>
            <w:hideMark/>
          </w:tcPr>
          <w:p w14:paraId="24EAB560" w14:textId="77777777" w:rsidR="000D2E47" w:rsidRPr="004860F2" w:rsidRDefault="000D2E47" w:rsidP="00E50C17">
            <w:pPr>
              <w:spacing w:before="60" w:after="60" w:line="240" w:lineRule="auto"/>
              <w:jc w:val="right"/>
              <w:rPr>
                <w:rFonts w:ascii="Arial" w:hAnsi="Arial" w:cs="Arial"/>
                <w:sz w:val="20"/>
                <w:szCs w:val="20"/>
              </w:rPr>
            </w:pPr>
            <w:r w:rsidRPr="004860F2">
              <w:rPr>
                <w:rFonts w:ascii="Arial" w:hAnsi="Arial" w:cs="Arial"/>
                <w:sz w:val="20"/>
                <w:szCs w:val="20"/>
              </w:rPr>
              <w:t>303.581.633.530</w:t>
            </w:r>
          </w:p>
        </w:tc>
        <w:tc>
          <w:tcPr>
            <w:tcW w:w="1855" w:type="dxa"/>
            <w:tcBorders>
              <w:top w:val="nil"/>
              <w:left w:val="nil"/>
              <w:bottom w:val="single" w:sz="4" w:space="0" w:color="auto"/>
              <w:right w:val="single" w:sz="4" w:space="0" w:color="auto"/>
            </w:tcBorders>
            <w:shd w:val="clear" w:color="auto" w:fill="auto"/>
            <w:noWrap/>
            <w:vAlign w:val="bottom"/>
            <w:hideMark/>
          </w:tcPr>
          <w:p w14:paraId="5B3CEE21" w14:textId="77777777" w:rsidR="000D2E47" w:rsidRPr="004860F2" w:rsidRDefault="000D2E47" w:rsidP="004860F2">
            <w:pPr>
              <w:spacing w:before="60" w:after="60" w:line="360" w:lineRule="auto"/>
              <w:jc w:val="center"/>
              <w:rPr>
                <w:rFonts w:ascii="Arial" w:hAnsi="Arial" w:cs="Arial"/>
                <w:sz w:val="20"/>
                <w:szCs w:val="20"/>
              </w:rPr>
            </w:pPr>
            <w:r w:rsidRPr="004860F2">
              <w:rPr>
                <w:rFonts w:ascii="Arial" w:hAnsi="Arial" w:cs="Arial"/>
                <w:sz w:val="20"/>
                <w:szCs w:val="20"/>
              </w:rPr>
              <w:t>569.354.728.908</w:t>
            </w:r>
          </w:p>
        </w:tc>
        <w:tc>
          <w:tcPr>
            <w:tcW w:w="1855" w:type="dxa"/>
            <w:tcBorders>
              <w:top w:val="nil"/>
              <w:left w:val="nil"/>
              <w:bottom w:val="single" w:sz="4" w:space="0" w:color="auto"/>
              <w:right w:val="single" w:sz="4" w:space="0" w:color="auto"/>
            </w:tcBorders>
            <w:shd w:val="clear" w:color="auto" w:fill="auto"/>
            <w:noWrap/>
            <w:vAlign w:val="bottom"/>
            <w:hideMark/>
          </w:tcPr>
          <w:p w14:paraId="4B88420D" w14:textId="77777777" w:rsidR="000D2E47" w:rsidRPr="004860F2" w:rsidRDefault="000D2E47" w:rsidP="004860F2">
            <w:pPr>
              <w:spacing w:before="60" w:after="60" w:line="360" w:lineRule="auto"/>
              <w:jc w:val="center"/>
              <w:rPr>
                <w:rFonts w:ascii="Arial" w:hAnsi="Arial" w:cs="Arial"/>
                <w:sz w:val="20"/>
                <w:szCs w:val="20"/>
              </w:rPr>
            </w:pPr>
            <w:r w:rsidRPr="004860F2">
              <w:rPr>
                <w:rFonts w:ascii="Arial" w:hAnsi="Arial" w:cs="Arial"/>
                <w:sz w:val="20"/>
                <w:szCs w:val="20"/>
              </w:rPr>
              <w:t>858.193.595.053</w:t>
            </w:r>
          </w:p>
        </w:tc>
        <w:tc>
          <w:tcPr>
            <w:tcW w:w="778" w:type="dxa"/>
            <w:tcBorders>
              <w:top w:val="nil"/>
              <w:left w:val="nil"/>
              <w:bottom w:val="single" w:sz="4" w:space="0" w:color="auto"/>
              <w:right w:val="single" w:sz="4" w:space="0" w:color="auto"/>
            </w:tcBorders>
            <w:shd w:val="clear" w:color="auto" w:fill="auto"/>
            <w:noWrap/>
            <w:vAlign w:val="bottom"/>
            <w:hideMark/>
          </w:tcPr>
          <w:p w14:paraId="455AD34D" w14:textId="77777777" w:rsidR="000D2E47" w:rsidRPr="004860F2" w:rsidRDefault="000D2E47" w:rsidP="004860F2">
            <w:pPr>
              <w:spacing w:before="60" w:after="60" w:line="360" w:lineRule="auto"/>
              <w:jc w:val="center"/>
              <w:rPr>
                <w:rFonts w:ascii="Arial" w:hAnsi="Arial" w:cs="Arial"/>
                <w:sz w:val="20"/>
                <w:szCs w:val="20"/>
              </w:rPr>
            </w:pPr>
            <w:r w:rsidRPr="004860F2">
              <w:rPr>
                <w:rFonts w:ascii="Arial" w:hAnsi="Arial" w:cs="Arial"/>
                <w:sz w:val="20"/>
                <w:szCs w:val="20"/>
              </w:rPr>
              <w:t>9,24</w:t>
            </w:r>
          </w:p>
        </w:tc>
        <w:tc>
          <w:tcPr>
            <w:tcW w:w="769" w:type="dxa"/>
            <w:tcBorders>
              <w:top w:val="nil"/>
              <w:left w:val="nil"/>
              <w:bottom w:val="single" w:sz="4" w:space="0" w:color="auto"/>
              <w:right w:val="single" w:sz="4" w:space="0" w:color="auto"/>
            </w:tcBorders>
            <w:shd w:val="clear" w:color="auto" w:fill="auto"/>
            <w:noWrap/>
            <w:vAlign w:val="bottom"/>
            <w:hideMark/>
          </w:tcPr>
          <w:p w14:paraId="4868FE00" w14:textId="77777777" w:rsidR="000D2E47" w:rsidRPr="004860F2" w:rsidRDefault="000D2E47" w:rsidP="004860F2">
            <w:pPr>
              <w:spacing w:before="60" w:after="60" w:line="360" w:lineRule="auto"/>
              <w:jc w:val="center"/>
              <w:rPr>
                <w:rFonts w:ascii="Arial" w:hAnsi="Arial" w:cs="Arial"/>
                <w:sz w:val="20"/>
                <w:szCs w:val="20"/>
              </w:rPr>
            </w:pPr>
            <w:r w:rsidRPr="004860F2">
              <w:rPr>
                <w:rFonts w:ascii="Arial" w:hAnsi="Arial" w:cs="Arial"/>
                <w:sz w:val="20"/>
                <w:szCs w:val="20"/>
              </w:rPr>
              <w:t>12,47</w:t>
            </w:r>
          </w:p>
        </w:tc>
        <w:tc>
          <w:tcPr>
            <w:tcW w:w="769" w:type="dxa"/>
            <w:tcBorders>
              <w:top w:val="nil"/>
              <w:left w:val="nil"/>
              <w:bottom w:val="single" w:sz="4" w:space="0" w:color="auto"/>
              <w:right w:val="single" w:sz="8" w:space="0" w:color="auto"/>
            </w:tcBorders>
            <w:shd w:val="clear" w:color="auto" w:fill="auto"/>
            <w:noWrap/>
            <w:vAlign w:val="bottom"/>
            <w:hideMark/>
          </w:tcPr>
          <w:p w14:paraId="7EE51558" w14:textId="77777777" w:rsidR="000D2E47" w:rsidRPr="004860F2" w:rsidRDefault="000D2E47" w:rsidP="004860F2">
            <w:pPr>
              <w:spacing w:before="60" w:after="60" w:line="360" w:lineRule="auto"/>
              <w:jc w:val="center"/>
              <w:rPr>
                <w:rFonts w:ascii="Arial" w:hAnsi="Arial" w:cs="Arial"/>
                <w:sz w:val="20"/>
                <w:szCs w:val="20"/>
              </w:rPr>
            </w:pPr>
            <w:r w:rsidRPr="004860F2">
              <w:rPr>
                <w:rFonts w:ascii="Arial" w:hAnsi="Arial" w:cs="Arial"/>
                <w:sz w:val="20"/>
                <w:szCs w:val="20"/>
              </w:rPr>
              <w:t>13,74</w:t>
            </w:r>
          </w:p>
        </w:tc>
      </w:tr>
      <w:tr w:rsidR="00862378" w:rsidRPr="007148A6" w14:paraId="474F0FF2" w14:textId="77777777" w:rsidTr="004860F2">
        <w:trPr>
          <w:trHeight w:val="70"/>
          <w:jc w:val="center"/>
        </w:trPr>
        <w:tc>
          <w:tcPr>
            <w:tcW w:w="1550" w:type="dxa"/>
            <w:tcBorders>
              <w:top w:val="nil"/>
              <w:left w:val="single" w:sz="8" w:space="0" w:color="auto"/>
              <w:bottom w:val="single" w:sz="8" w:space="0" w:color="auto"/>
              <w:right w:val="single" w:sz="4" w:space="0" w:color="auto"/>
            </w:tcBorders>
            <w:shd w:val="clear" w:color="auto" w:fill="E7E6E6" w:themeFill="background2"/>
            <w:noWrap/>
            <w:vAlign w:val="bottom"/>
            <w:hideMark/>
          </w:tcPr>
          <w:p w14:paraId="46235F24" w14:textId="3D87D37B" w:rsidR="000D2E47" w:rsidRPr="004860F2" w:rsidRDefault="000D2E47" w:rsidP="00E50C17">
            <w:pPr>
              <w:spacing w:before="60" w:after="60" w:line="240" w:lineRule="auto"/>
              <w:rPr>
                <w:rFonts w:ascii="Arial" w:hAnsi="Arial" w:cs="Arial"/>
                <w:b/>
                <w:bCs/>
                <w:sz w:val="20"/>
                <w:szCs w:val="20"/>
              </w:rPr>
            </w:pPr>
            <w:r w:rsidRPr="004860F2">
              <w:rPr>
                <w:rFonts w:ascii="Arial" w:hAnsi="Arial" w:cs="Arial"/>
                <w:b/>
                <w:bCs/>
                <w:sz w:val="20"/>
                <w:szCs w:val="20"/>
              </w:rPr>
              <w:t>TOTAL G</w:t>
            </w:r>
            <w:r w:rsidR="00D433CE" w:rsidRPr="004860F2">
              <w:rPr>
                <w:rFonts w:ascii="Arial" w:hAnsi="Arial" w:cs="Arial"/>
                <w:b/>
                <w:bCs/>
                <w:sz w:val="20"/>
                <w:szCs w:val="20"/>
              </w:rPr>
              <w:t>AS</w:t>
            </w:r>
            <w:r w:rsidRPr="004860F2">
              <w:rPr>
                <w:rFonts w:ascii="Arial" w:hAnsi="Arial" w:cs="Arial"/>
                <w:b/>
                <w:bCs/>
                <w:sz w:val="20"/>
                <w:szCs w:val="20"/>
              </w:rPr>
              <w:t xml:space="preserve">TOS </w:t>
            </w:r>
          </w:p>
        </w:tc>
        <w:tc>
          <w:tcPr>
            <w:tcW w:w="1854" w:type="dxa"/>
            <w:tcBorders>
              <w:top w:val="nil"/>
              <w:left w:val="nil"/>
              <w:bottom w:val="single" w:sz="8" w:space="0" w:color="auto"/>
              <w:right w:val="single" w:sz="4" w:space="0" w:color="auto"/>
            </w:tcBorders>
            <w:shd w:val="clear" w:color="000000" w:fill="FFFFFF"/>
            <w:vAlign w:val="center"/>
            <w:hideMark/>
          </w:tcPr>
          <w:p w14:paraId="5605B627" w14:textId="77777777" w:rsidR="000D2E47" w:rsidRPr="004860F2" w:rsidRDefault="000D2E47" w:rsidP="00E50C17">
            <w:pPr>
              <w:spacing w:before="60" w:after="60" w:line="240" w:lineRule="auto"/>
              <w:jc w:val="right"/>
              <w:rPr>
                <w:rFonts w:ascii="Arial" w:hAnsi="Arial" w:cs="Arial"/>
                <w:b/>
                <w:bCs/>
                <w:sz w:val="20"/>
                <w:szCs w:val="20"/>
              </w:rPr>
            </w:pPr>
            <w:r w:rsidRPr="004860F2">
              <w:rPr>
                <w:rFonts w:ascii="Arial" w:hAnsi="Arial" w:cs="Arial"/>
                <w:b/>
                <w:bCs/>
                <w:sz w:val="20"/>
                <w:szCs w:val="20"/>
              </w:rPr>
              <w:t>3.286.587.680.387</w:t>
            </w:r>
          </w:p>
        </w:tc>
        <w:tc>
          <w:tcPr>
            <w:tcW w:w="1855" w:type="dxa"/>
            <w:tcBorders>
              <w:top w:val="nil"/>
              <w:left w:val="nil"/>
              <w:bottom w:val="single" w:sz="8" w:space="0" w:color="auto"/>
              <w:right w:val="single" w:sz="4" w:space="0" w:color="auto"/>
            </w:tcBorders>
            <w:shd w:val="clear" w:color="auto" w:fill="auto"/>
            <w:noWrap/>
            <w:vAlign w:val="bottom"/>
            <w:hideMark/>
          </w:tcPr>
          <w:p w14:paraId="3429DA59" w14:textId="77777777" w:rsidR="000D2E47" w:rsidRPr="004860F2" w:rsidRDefault="000D2E47" w:rsidP="004860F2">
            <w:pPr>
              <w:spacing w:before="60" w:after="60" w:line="360" w:lineRule="auto"/>
              <w:jc w:val="right"/>
              <w:rPr>
                <w:rFonts w:ascii="Arial" w:hAnsi="Arial" w:cs="Arial"/>
                <w:sz w:val="20"/>
                <w:szCs w:val="20"/>
              </w:rPr>
            </w:pPr>
            <w:r w:rsidRPr="004860F2">
              <w:rPr>
                <w:rFonts w:ascii="Arial" w:hAnsi="Arial" w:cs="Arial"/>
                <w:sz w:val="20"/>
                <w:szCs w:val="20"/>
              </w:rPr>
              <w:t>4.566.641.919.497</w:t>
            </w:r>
          </w:p>
        </w:tc>
        <w:tc>
          <w:tcPr>
            <w:tcW w:w="1855" w:type="dxa"/>
            <w:tcBorders>
              <w:top w:val="nil"/>
              <w:left w:val="nil"/>
              <w:bottom w:val="single" w:sz="8" w:space="0" w:color="auto"/>
              <w:right w:val="single" w:sz="4" w:space="0" w:color="auto"/>
            </w:tcBorders>
            <w:shd w:val="clear" w:color="auto" w:fill="auto"/>
            <w:noWrap/>
            <w:vAlign w:val="bottom"/>
            <w:hideMark/>
          </w:tcPr>
          <w:p w14:paraId="44AA5C8D" w14:textId="77777777" w:rsidR="000D2E47" w:rsidRPr="004860F2" w:rsidRDefault="000D2E47" w:rsidP="004860F2">
            <w:pPr>
              <w:spacing w:before="60" w:after="60" w:line="360" w:lineRule="auto"/>
              <w:jc w:val="right"/>
              <w:rPr>
                <w:rFonts w:ascii="Arial" w:hAnsi="Arial" w:cs="Arial"/>
                <w:sz w:val="20"/>
                <w:szCs w:val="20"/>
              </w:rPr>
            </w:pPr>
            <w:r w:rsidRPr="004860F2">
              <w:rPr>
                <w:rFonts w:ascii="Arial" w:hAnsi="Arial" w:cs="Arial"/>
                <w:sz w:val="20"/>
                <w:szCs w:val="20"/>
              </w:rPr>
              <w:t>6.247.756.404.531</w:t>
            </w:r>
          </w:p>
        </w:tc>
        <w:tc>
          <w:tcPr>
            <w:tcW w:w="778" w:type="dxa"/>
            <w:tcBorders>
              <w:top w:val="nil"/>
              <w:left w:val="nil"/>
              <w:bottom w:val="single" w:sz="8" w:space="0" w:color="auto"/>
              <w:right w:val="single" w:sz="4" w:space="0" w:color="auto"/>
            </w:tcBorders>
            <w:shd w:val="clear" w:color="auto" w:fill="auto"/>
            <w:noWrap/>
            <w:vAlign w:val="bottom"/>
            <w:hideMark/>
          </w:tcPr>
          <w:p w14:paraId="56AD6D5B" w14:textId="77777777" w:rsidR="000D2E47" w:rsidRPr="004860F2" w:rsidRDefault="000D2E47" w:rsidP="004860F2">
            <w:pPr>
              <w:spacing w:before="60" w:after="60" w:line="360" w:lineRule="auto"/>
              <w:jc w:val="right"/>
              <w:rPr>
                <w:rFonts w:ascii="Arial" w:hAnsi="Arial" w:cs="Arial"/>
                <w:sz w:val="20"/>
                <w:szCs w:val="20"/>
              </w:rPr>
            </w:pPr>
            <w:r w:rsidRPr="004860F2">
              <w:rPr>
                <w:rFonts w:ascii="Arial" w:hAnsi="Arial" w:cs="Arial"/>
                <w:sz w:val="20"/>
                <w:szCs w:val="20"/>
              </w:rPr>
              <w:t>100,00</w:t>
            </w:r>
          </w:p>
        </w:tc>
        <w:tc>
          <w:tcPr>
            <w:tcW w:w="769" w:type="dxa"/>
            <w:tcBorders>
              <w:top w:val="nil"/>
              <w:left w:val="nil"/>
              <w:bottom w:val="single" w:sz="8" w:space="0" w:color="auto"/>
              <w:right w:val="single" w:sz="4" w:space="0" w:color="auto"/>
            </w:tcBorders>
            <w:shd w:val="clear" w:color="auto" w:fill="auto"/>
            <w:noWrap/>
            <w:vAlign w:val="bottom"/>
            <w:hideMark/>
          </w:tcPr>
          <w:p w14:paraId="5649179F" w14:textId="77777777" w:rsidR="000D2E47" w:rsidRPr="004860F2" w:rsidRDefault="000D2E47" w:rsidP="004860F2">
            <w:pPr>
              <w:spacing w:before="60" w:after="60" w:line="360" w:lineRule="auto"/>
              <w:jc w:val="right"/>
              <w:rPr>
                <w:rFonts w:ascii="Arial" w:hAnsi="Arial" w:cs="Arial"/>
                <w:sz w:val="20"/>
                <w:szCs w:val="20"/>
              </w:rPr>
            </w:pPr>
            <w:r w:rsidRPr="004860F2">
              <w:rPr>
                <w:rFonts w:ascii="Arial" w:hAnsi="Arial" w:cs="Arial"/>
                <w:sz w:val="20"/>
                <w:szCs w:val="20"/>
              </w:rPr>
              <w:t>100,00</w:t>
            </w:r>
          </w:p>
        </w:tc>
        <w:tc>
          <w:tcPr>
            <w:tcW w:w="769" w:type="dxa"/>
            <w:tcBorders>
              <w:top w:val="nil"/>
              <w:left w:val="nil"/>
              <w:bottom w:val="single" w:sz="8" w:space="0" w:color="auto"/>
              <w:right w:val="single" w:sz="8" w:space="0" w:color="auto"/>
            </w:tcBorders>
            <w:shd w:val="clear" w:color="auto" w:fill="auto"/>
            <w:noWrap/>
            <w:vAlign w:val="bottom"/>
            <w:hideMark/>
          </w:tcPr>
          <w:p w14:paraId="4D1C0740" w14:textId="77777777" w:rsidR="000D2E47" w:rsidRPr="004860F2" w:rsidRDefault="000D2E47" w:rsidP="004860F2">
            <w:pPr>
              <w:spacing w:before="60" w:after="60" w:line="360" w:lineRule="auto"/>
              <w:jc w:val="right"/>
              <w:rPr>
                <w:rFonts w:ascii="Arial" w:hAnsi="Arial" w:cs="Arial"/>
                <w:sz w:val="20"/>
                <w:szCs w:val="20"/>
              </w:rPr>
            </w:pPr>
            <w:r w:rsidRPr="004860F2">
              <w:rPr>
                <w:rFonts w:ascii="Arial" w:hAnsi="Arial" w:cs="Arial"/>
                <w:sz w:val="20"/>
                <w:szCs w:val="20"/>
              </w:rPr>
              <w:t>100,00</w:t>
            </w:r>
          </w:p>
        </w:tc>
      </w:tr>
    </w:tbl>
    <w:p w14:paraId="48E3AA8F" w14:textId="47B983E3" w:rsidR="000D2E47" w:rsidRPr="007148A6" w:rsidRDefault="00837586" w:rsidP="007827DE">
      <w:pPr>
        <w:spacing w:before="120" w:after="0" w:line="240" w:lineRule="auto"/>
        <w:jc w:val="both"/>
        <w:rPr>
          <w:rFonts w:ascii="Arial" w:hAnsi="Arial" w:cs="Arial"/>
        </w:rPr>
      </w:pPr>
      <w:r w:rsidRPr="007148A6">
        <w:rPr>
          <w:rFonts w:ascii="Arial" w:hAnsi="Arial" w:cs="Arial"/>
        </w:rPr>
        <w:lastRenderedPageBreak/>
        <w:t>En el Cuadro 4 puede observarse el total y el porcentaje que se asigna a cada jurisdicción subnacional.</w:t>
      </w:r>
    </w:p>
    <w:p w14:paraId="73DF3E17" w14:textId="50927F61" w:rsidR="00A56080" w:rsidRPr="007148A6" w:rsidRDefault="00A56080" w:rsidP="00A56080">
      <w:pPr>
        <w:jc w:val="center"/>
        <w:rPr>
          <w:rFonts w:ascii="Arial" w:hAnsi="Arial" w:cs="Arial"/>
          <w:b/>
          <w:bCs/>
        </w:rPr>
      </w:pPr>
      <w:r w:rsidRPr="007148A6">
        <w:rPr>
          <w:rFonts w:ascii="Arial" w:hAnsi="Arial" w:cs="Arial"/>
          <w:b/>
          <w:bCs/>
        </w:rPr>
        <w:t>Cuadro 4</w:t>
      </w:r>
    </w:p>
    <w:tbl>
      <w:tblPr>
        <w:tblW w:w="9336" w:type="dxa"/>
        <w:jc w:val="center"/>
        <w:tblCellMar>
          <w:left w:w="70" w:type="dxa"/>
          <w:right w:w="70" w:type="dxa"/>
        </w:tblCellMar>
        <w:tblLook w:val="04A0" w:firstRow="1" w:lastRow="0" w:firstColumn="1" w:lastColumn="0" w:noHBand="0" w:noVBand="1"/>
      </w:tblPr>
      <w:tblGrid>
        <w:gridCol w:w="1516"/>
        <w:gridCol w:w="1854"/>
        <w:gridCol w:w="1865"/>
        <w:gridCol w:w="1857"/>
        <w:gridCol w:w="748"/>
        <w:gridCol w:w="748"/>
        <w:gridCol w:w="748"/>
      </w:tblGrid>
      <w:tr w:rsidR="00E50C17" w:rsidRPr="004860F2" w14:paraId="5426FFD6" w14:textId="77777777" w:rsidTr="004860F2">
        <w:trPr>
          <w:trHeight w:val="445"/>
          <w:jc w:val="center"/>
        </w:trPr>
        <w:tc>
          <w:tcPr>
            <w:tcW w:w="9336" w:type="dxa"/>
            <w:gridSpan w:val="7"/>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3B6606FE" w14:textId="306BC326" w:rsidR="00E50C17" w:rsidRPr="004860F2" w:rsidRDefault="00E50C17" w:rsidP="00E50C17">
            <w:pPr>
              <w:spacing w:after="0" w:line="240" w:lineRule="auto"/>
              <w:jc w:val="center"/>
              <w:rPr>
                <w:rFonts w:ascii="Arial" w:eastAsia="Times New Roman" w:hAnsi="Arial" w:cs="Arial"/>
                <w:b/>
                <w:bCs/>
                <w:color w:val="000000"/>
                <w:sz w:val="20"/>
                <w:szCs w:val="20"/>
                <w:lang w:eastAsia="es-AR"/>
              </w:rPr>
            </w:pPr>
            <w:r w:rsidRPr="004860F2">
              <w:rPr>
                <w:rFonts w:ascii="Arial" w:eastAsia="Times New Roman" w:hAnsi="Arial" w:cs="Arial"/>
                <w:b/>
                <w:bCs/>
                <w:color w:val="000000"/>
                <w:sz w:val="20"/>
                <w:szCs w:val="20"/>
                <w:lang w:eastAsia="es-AR"/>
              </w:rPr>
              <w:t xml:space="preserve">ADMINISTRACIÓN NACIONAL - COMPOSICIÓN DEL GASTO POR UBICACIÓN GEOGRÁFICA </w:t>
            </w:r>
          </w:p>
        </w:tc>
      </w:tr>
      <w:tr w:rsidR="00E50C17" w:rsidRPr="004860F2" w14:paraId="1D283CF7" w14:textId="77777777" w:rsidTr="007827DE">
        <w:trPr>
          <w:trHeight w:val="406"/>
          <w:jc w:val="center"/>
        </w:trPr>
        <w:tc>
          <w:tcPr>
            <w:tcW w:w="1516" w:type="dxa"/>
            <w:tcBorders>
              <w:top w:val="nil"/>
              <w:left w:val="single" w:sz="8" w:space="0" w:color="auto"/>
              <w:bottom w:val="single" w:sz="8" w:space="0" w:color="auto"/>
              <w:right w:val="single" w:sz="4" w:space="0" w:color="auto"/>
            </w:tcBorders>
            <w:shd w:val="clear" w:color="auto" w:fill="E7E6E6" w:themeFill="background2"/>
            <w:noWrap/>
            <w:vAlign w:val="bottom"/>
            <w:hideMark/>
          </w:tcPr>
          <w:p w14:paraId="77318C1B" w14:textId="77777777" w:rsidR="00E50C17" w:rsidRPr="004860F2" w:rsidRDefault="00E50C17" w:rsidP="00E50C17">
            <w:pPr>
              <w:spacing w:after="0" w:line="240" w:lineRule="auto"/>
              <w:jc w:val="center"/>
              <w:rPr>
                <w:rFonts w:ascii="Arial" w:eastAsia="Times New Roman" w:hAnsi="Arial" w:cs="Arial"/>
                <w:b/>
                <w:bCs/>
                <w:color w:val="000000"/>
                <w:sz w:val="20"/>
                <w:szCs w:val="20"/>
                <w:lang w:eastAsia="es-AR"/>
              </w:rPr>
            </w:pPr>
            <w:r w:rsidRPr="004860F2">
              <w:rPr>
                <w:rFonts w:ascii="Arial" w:eastAsia="Times New Roman" w:hAnsi="Arial" w:cs="Arial"/>
                <w:b/>
                <w:bCs/>
                <w:color w:val="000000"/>
                <w:sz w:val="20"/>
                <w:szCs w:val="20"/>
                <w:lang w:eastAsia="es-AR"/>
              </w:rPr>
              <w:t>UBICACIÓN</w:t>
            </w:r>
          </w:p>
        </w:tc>
        <w:tc>
          <w:tcPr>
            <w:tcW w:w="1854" w:type="dxa"/>
            <w:tcBorders>
              <w:top w:val="nil"/>
              <w:left w:val="nil"/>
              <w:bottom w:val="single" w:sz="8" w:space="0" w:color="auto"/>
              <w:right w:val="single" w:sz="4" w:space="0" w:color="auto"/>
            </w:tcBorders>
            <w:shd w:val="clear" w:color="auto" w:fill="E7E6E6" w:themeFill="background2"/>
            <w:noWrap/>
            <w:vAlign w:val="bottom"/>
            <w:hideMark/>
          </w:tcPr>
          <w:p w14:paraId="42D8E012" w14:textId="77777777" w:rsidR="00E50C17" w:rsidRPr="004860F2" w:rsidRDefault="00E50C17" w:rsidP="00E50C17">
            <w:pPr>
              <w:spacing w:after="0" w:line="240" w:lineRule="auto"/>
              <w:jc w:val="center"/>
              <w:rPr>
                <w:rFonts w:ascii="Arial" w:eastAsia="Times New Roman" w:hAnsi="Arial" w:cs="Arial"/>
                <w:b/>
                <w:bCs/>
                <w:color w:val="000000"/>
                <w:sz w:val="20"/>
                <w:szCs w:val="20"/>
                <w:lang w:eastAsia="es-AR"/>
              </w:rPr>
            </w:pPr>
            <w:r w:rsidRPr="004860F2">
              <w:rPr>
                <w:rFonts w:ascii="Arial" w:eastAsia="Times New Roman" w:hAnsi="Arial" w:cs="Arial"/>
                <w:b/>
                <w:bCs/>
                <w:color w:val="000000"/>
                <w:sz w:val="20"/>
                <w:szCs w:val="20"/>
                <w:lang w:eastAsia="es-AR"/>
              </w:rPr>
              <w:t>2018 ($)</w:t>
            </w:r>
          </w:p>
        </w:tc>
        <w:tc>
          <w:tcPr>
            <w:tcW w:w="1865" w:type="dxa"/>
            <w:tcBorders>
              <w:top w:val="nil"/>
              <w:left w:val="nil"/>
              <w:bottom w:val="single" w:sz="8" w:space="0" w:color="auto"/>
              <w:right w:val="single" w:sz="4" w:space="0" w:color="auto"/>
            </w:tcBorders>
            <w:shd w:val="clear" w:color="auto" w:fill="E7E6E6" w:themeFill="background2"/>
            <w:noWrap/>
            <w:vAlign w:val="bottom"/>
            <w:hideMark/>
          </w:tcPr>
          <w:p w14:paraId="1518DA8C" w14:textId="77777777" w:rsidR="00E50C17" w:rsidRPr="004860F2" w:rsidRDefault="00E50C17" w:rsidP="00E50C17">
            <w:pPr>
              <w:spacing w:after="0" w:line="240" w:lineRule="auto"/>
              <w:jc w:val="center"/>
              <w:rPr>
                <w:rFonts w:ascii="Arial" w:eastAsia="Times New Roman" w:hAnsi="Arial" w:cs="Arial"/>
                <w:b/>
                <w:bCs/>
                <w:color w:val="000000"/>
                <w:sz w:val="20"/>
                <w:szCs w:val="20"/>
                <w:lang w:eastAsia="es-AR"/>
              </w:rPr>
            </w:pPr>
            <w:r w:rsidRPr="004860F2">
              <w:rPr>
                <w:rFonts w:ascii="Arial" w:eastAsia="Times New Roman" w:hAnsi="Arial" w:cs="Arial"/>
                <w:b/>
                <w:bCs/>
                <w:color w:val="000000"/>
                <w:sz w:val="20"/>
                <w:szCs w:val="20"/>
                <w:lang w:eastAsia="es-AR"/>
              </w:rPr>
              <w:t>2019 ($)</w:t>
            </w:r>
          </w:p>
        </w:tc>
        <w:tc>
          <w:tcPr>
            <w:tcW w:w="1857" w:type="dxa"/>
            <w:tcBorders>
              <w:top w:val="nil"/>
              <w:left w:val="nil"/>
              <w:bottom w:val="single" w:sz="8" w:space="0" w:color="auto"/>
              <w:right w:val="single" w:sz="4" w:space="0" w:color="auto"/>
            </w:tcBorders>
            <w:shd w:val="clear" w:color="auto" w:fill="E7E6E6" w:themeFill="background2"/>
            <w:noWrap/>
            <w:vAlign w:val="bottom"/>
            <w:hideMark/>
          </w:tcPr>
          <w:p w14:paraId="7584F5B0" w14:textId="77777777" w:rsidR="00E50C17" w:rsidRPr="004860F2" w:rsidRDefault="00E50C17" w:rsidP="00E50C17">
            <w:pPr>
              <w:spacing w:after="0" w:line="240" w:lineRule="auto"/>
              <w:jc w:val="center"/>
              <w:rPr>
                <w:rFonts w:ascii="Arial" w:eastAsia="Times New Roman" w:hAnsi="Arial" w:cs="Arial"/>
                <w:b/>
                <w:bCs/>
                <w:color w:val="000000"/>
                <w:sz w:val="20"/>
                <w:szCs w:val="20"/>
                <w:lang w:eastAsia="es-AR"/>
              </w:rPr>
            </w:pPr>
            <w:r w:rsidRPr="004860F2">
              <w:rPr>
                <w:rFonts w:ascii="Arial" w:eastAsia="Times New Roman" w:hAnsi="Arial" w:cs="Arial"/>
                <w:b/>
                <w:bCs/>
                <w:color w:val="000000"/>
                <w:sz w:val="20"/>
                <w:szCs w:val="20"/>
                <w:lang w:eastAsia="es-AR"/>
              </w:rPr>
              <w:t>2020 ($)</w:t>
            </w:r>
          </w:p>
        </w:tc>
        <w:tc>
          <w:tcPr>
            <w:tcW w:w="748" w:type="dxa"/>
            <w:tcBorders>
              <w:top w:val="nil"/>
              <w:left w:val="nil"/>
              <w:bottom w:val="single" w:sz="8" w:space="0" w:color="auto"/>
              <w:right w:val="single" w:sz="4" w:space="0" w:color="auto"/>
            </w:tcBorders>
            <w:shd w:val="clear" w:color="auto" w:fill="E7E6E6" w:themeFill="background2"/>
            <w:noWrap/>
            <w:vAlign w:val="bottom"/>
            <w:hideMark/>
          </w:tcPr>
          <w:p w14:paraId="08D2500F" w14:textId="77777777" w:rsidR="00E50C17" w:rsidRPr="004860F2" w:rsidRDefault="00E50C17" w:rsidP="00E50C17">
            <w:pPr>
              <w:spacing w:after="0" w:line="240" w:lineRule="auto"/>
              <w:jc w:val="center"/>
              <w:rPr>
                <w:rFonts w:ascii="Arial" w:eastAsia="Times New Roman" w:hAnsi="Arial" w:cs="Arial"/>
                <w:b/>
                <w:bCs/>
                <w:color w:val="000000"/>
                <w:sz w:val="20"/>
                <w:szCs w:val="20"/>
                <w:lang w:eastAsia="es-AR"/>
              </w:rPr>
            </w:pPr>
            <w:r w:rsidRPr="004860F2">
              <w:rPr>
                <w:rFonts w:ascii="Arial" w:eastAsia="Times New Roman" w:hAnsi="Arial" w:cs="Arial"/>
                <w:b/>
                <w:bCs/>
                <w:color w:val="000000"/>
                <w:sz w:val="20"/>
                <w:szCs w:val="20"/>
                <w:lang w:eastAsia="es-AR"/>
              </w:rPr>
              <w:t>2018 (%)</w:t>
            </w:r>
          </w:p>
        </w:tc>
        <w:tc>
          <w:tcPr>
            <w:tcW w:w="748" w:type="dxa"/>
            <w:tcBorders>
              <w:top w:val="nil"/>
              <w:left w:val="nil"/>
              <w:bottom w:val="single" w:sz="8" w:space="0" w:color="auto"/>
              <w:right w:val="single" w:sz="4" w:space="0" w:color="auto"/>
            </w:tcBorders>
            <w:shd w:val="clear" w:color="auto" w:fill="E7E6E6" w:themeFill="background2"/>
            <w:noWrap/>
            <w:vAlign w:val="bottom"/>
            <w:hideMark/>
          </w:tcPr>
          <w:p w14:paraId="07561151" w14:textId="77777777" w:rsidR="00E50C17" w:rsidRPr="004860F2" w:rsidRDefault="00E50C17" w:rsidP="00E50C17">
            <w:pPr>
              <w:spacing w:after="0" w:line="240" w:lineRule="auto"/>
              <w:jc w:val="center"/>
              <w:rPr>
                <w:rFonts w:ascii="Arial" w:eastAsia="Times New Roman" w:hAnsi="Arial" w:cs="Arial"/>
                <w:b/>
                <w:bCs/>
                <w:color w:val="000000"/>
                <w:sz w:val="20"/>
                <w:szCs w:val="20"/>
                <w:lang w:eastAsia="es-AR"/>
              </w:rPr>
            </w:pPr>
            <w:r w:rsidRPr="004860F2">
              <w:rPr>
                <w:rFonts w:ascii="Arial" w:eastAsia="Times New Roman" w:hAnsi="Arial" w:cs="Arial"/>
                <w:b/>
                <w:bCs/>
                <w:color w:val="000000"/>
                <w:sz w:val="20"/>
                <w:szCs w:val="20"/>
                <w:lang w:eastAsia="es-AR"/>
              </w:rPr>
              <w:t>2019 (%)</w:t>
            </w:r>
          </w:p>
        </w:tc>
        <w:tc>
          <w:tcPr>
            <w:tcW w:w="748" w:type="dxa"/>
            <w:tcBorders>
              <w:top w:val="nil"/>
              <w:left w:val="nil"/>
              <w:bottom w:val="single" w:sz="8" w:space="0" w:color="auto"/>
              <w:right w:val="single" w:sz="8" w:space="0" w:color="auto"/>
            </w:tcBorders>
            <w:shd w:val="clear" w:color="auto" w:fill="E7E6E6" w:themeFill="background2"/>
            <w:noWrap/>
            <w:vAlign w:val="bottom"/>
            <w:hideMark/>
          </w:tcPr>
          <w:p w14:paraId="0BE2F6F1" w14:textId="77777777" w:rsidR="00E50C17" w:rsidRPr="004860F2" w:rsidRDefault="00E50C17" w:rsidP="00E50C17">
            <w:pPr>
              <w:spacing w:after="0" w:line="240" w:lineRule="auto"/>
              <w:jc w:val="center"/>
              <w:rPr>
                <w:rFonts w:ascii="Arial" w:eastAsia="Times New Roman" w:hAnsi="Arial" w:cs="Arial"/>
                <w:b/>
                <w:bCs/>
                <w:color w:val="000000"/>
                <w:sz w:val="20"/>
                <w:szCs w:val="20"/>
                <w:lang w:eastAsia="es-AR"/>
              </w:rPr>
            </w:pPr>
            <w:r w:rsidRPr="004860F2">
              <w:rPr>
                <w:rFonts w:ascii="Arial" w:eastAsia="Times New Roman" w:hAnsi="Arial" w:cs="Arial"/>
                <w:b/>
                <w:bCs/>
                <w:color w:val="000000"/>
                <w:sz w:val="20"/>
                <w:szCs w:val="20"/>
                <w:lang w:eastAsia="es-AR"/>
              </w:rPr>
              <w:t>2020 (%)</w:t>
            </w:r>
          </w:p>
        </w:tc>
      </w:tr>
      <w:tr w:rsidR="00E50C17" w:rsidRPr="004860F2" w14:paraId="11EC363A" w14:textId="77777777" w:rsidTr="007827DE">
        <w:trPr>
          <w:trHeight w:val="387"/>
          <w:jc w:val="center"/>
        </w:trPr>
        <w:tc>
          <w:tcPr>
            <w:tcW w:w="1516"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2BB79929" w14:textId="77777777" w:rsidR="00E50C17" w:rsidRPr="004860F2" w:rsidRDefault="00E50C17" w:rsidP="00E50C17">
            <w:pPr>
              <w:spacing w:after="0" w:line="240" w:lineRule="auto"/>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 xml:space="preserve">C. A. B. A. </w:t>
            </w:r>
          </w:p>
        </w:tc>
        <w:tc>
          <w:tcPr>
            <w:tcW w:w="1854" w:type="dxa"/>
            <w:tcBorders>
              <w:top w:val="nil"/>
              <w:left w:val="nil"/>
              <w:bottom w:val="single" w:sz="4" w:space="0" w:color="auto"/>
              <w:right w:val="single" w:sz="4" w:space="0" w:color="auto"/>
            </w:tcBorders>
            <w:shd w:val="clear" w:color="auto" w:fill="auto"/>
            <w:noWrap/>
            <w:vAlign w:val="bottom"/>
            <w:hideMark/>
          </w:tcPr>
          <w:p w14:paraId="3D7B9409"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613.424.264.113</w:t>
            </w:r>
          </w:p>
        </w:tc>
        <w:tc>
          <w:tcPr>
            <w:tcW w:w="1865" w:type="dxa"/>
            <w:tcBorders>
              <w:top w:val="nil"/>
              <w:left w:val="nil"/>
              <w:bottom w:val="single" w:sz="4" w:space="0" w:color="auto"/>
              <w:right w:val="single" w:sz="4" w:space="0" w:color="auto"/>
            </w:tcBorders>
            <w:shd w:val="clear" w:color="auto" w:fill="auto"/>
            <w:noWrap/>
            <w:vAlign w:val="bottom"/>
            <w:hideMark/>
          </w:tcPr>
          <w:p w14:paraId="48EAE474"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966.449.170.414</w:t>
            </w:r>
          </w:p>
        </w:tc>
        <w:tc>
          <w:tcPr>
            <w:tcW w:w="1857" w:type="dxa"/>
            <w:tcBorders>
              <w:top w:val="nil"/>
              <w:left w:val="nil"/>
              <w:bottom w:val="single" w:sz="4" w:space="0" w:color="auto"/>
              <w:right w:val="single" w:sz="4" w:space="0" w:color="auto"/>
            </w:tcBorders>
            <w:shd w:val="clear" w:color="auto" w:fill="auto"/>
            <w:noWrap/>
            <w:vAlign w:val="bottom"/>
            <w:hideMark/>
          </w:tcPr>
          <w:p w14:paraId="764AFF0B"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1.332.216.965.397</w:t>
            </w:r>
          </w:p>
        </w:tc>
        <w:tc>
          <w:tcPr>
            <w:tcW w:w="748" w:type="dxa"/>
            <w:tcBorders>
              <w:top w:val="nil"/>
              <w:left w:val="nil"/>
              <w:bottom w:val="single" w:sz="4" w:space="0" w:color="auto"/>
              <w:right w:val="single" w:sz="4" w:space="0" w:color="auto"/>
            </w:tcBorders>
            <w:shd w:val="clear" w:color="auto" w:fill="auto"/>
            <w:noWrap/>
            <w:vAlign w:val="bottom"/>
            <w:hideMark/>
          </w:tcPr>
          <w:p w14:paraId="36273F16"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26,52</w:t>
            </w:r>
          </w:p>
        </w:tc>
        <w:tc>
          <w:tcPr>
            <w:tcW w:w="748" w:type="dxa"/>
            <w:tcBorders>
              <w:top w:val="nil"/>
              <w:left w:val="nil"/>
              <w:bottom w:val="single" w:sz="4" w:space="0" w:color="auto"/>
              <w:right w:val="single" w:sz="4" w:space="0" w:color="auto"/>
            </w:tcBorders>
            <w:shd w:val="clear" w:color="auto" w:fill="auto"/>
            <w:noWrap/>
            <w:vAlign w:val="bottom"/>
            <w:hideMark/>
          </w:tcPr>
          <w:p w14:paraId="1AABECA9"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30,59</w:t>
            </w:r>
          </w:p>
        </w:tc>
        <w:tc>
          <w:tcPr>
            <w:tcW w:w="748" w:type="dxa"/>
            <w:tcBorders>
              <w:top w:val="nil"/>
              <w:left w:val="nil"/>
              <w:bottom w:val="single" w:sz="4" w:space="0" w:color="auto"/>
              <w:right w:val="single" w:sz="8" w:space="0" w:color="auto"/>
            </w:tcBorders>
            <w:shd w:val="clear" w:color="auto" w:fill="auto"/>
            <w:noWrap/>
            <w:vAlign w:val="bottom"/>
            <w:hideMark/>
          </w:tcPr>
          <w:p w14:paraId="50A2D5AD"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29,90</w:t>
            </w:r>
          </w:p>
        </w:tc>
      </w:tr>
      <w:tr w:rsidR="00E50C17" w:rsidRPr="004860F2" w14:paraId="07A25F0B" w14:textId="77777777" w:rsidTr="007827DE">
        <w:trPr>
          <w:trHeight w:val="387"/>
          <w:jc w:val="center"/>
        </w:trPr>
        <w:tc>
          <w:tcPr>
            <w:tcW w:w="1516"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2DE90386" w14:textId="77777777" w:rsidR="00E50C17" w:rsidRPr="004860F2" w:rsidRDefault="00E50C17" w:rsidP="00E50C17">
            <w:pPr>
              <w:spacing w:after="0" w:line="240" w:lineRule="auto"/>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 xml:space="preserve">Buenos Aires </w:t>
            </w:r>
          </w:p>
        </w:tc>
        <w:tc>
          <w:tcPr>
            <w:tcW w:w="1854" w:type="dxa"/>
            <w:tcBorders>
              <w:top w:val="nil"/>
              <w:left w:val="nil"/>
              <w:bottom w:val="single" w:sz="4" w:space="0" w:color="auto"/>
              <w:right w:val="single" w:sz="4" w:space="0" w:color="auto"/>
            </w:tcBorders>
            <w:shd w:val="clear" w:color="auto" w:fill="auto"/>
            <w:noWrap/>
            <w:vAlign w:val="bottom"/>
            <w:hideMark/>
          </w:tcPr>
          <w:p w14:paraId="5F38E4D9"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715.085.996.859</w:t>
            </w:r>
          </w:p>
        </w:tc>
        <w:tc>
          <w:tcPr>
            <w:tcW w:w="1865" w:type="dxa"/>
            <w:tcBorders>
              <w:top w:val="nil"/>
              <w:left w:val="nil"/>
              <w:bottom w:val="single" w:sz="4" w:space="0" w:color="auto"/>
              <w:right w:val="single" w:sz="4" w:space="0" w:color="auto"/>
            </w:tcBorders>
            <w:shd w:val="clear" w:color="auto" w:fill="auto"/>
            <w:noWrap/>
            <w:vAlign w:val="bottom"/>
            <w:hideMark/>
          </w:tcPr>
          <w:p w14:paraId="24B04960"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821.782.067.519</w:t>
            </w:r>
          </w:p>
        </w:tc>
        <w:tc>
          <w:tcPr>
            <w:tcW w:w="1857" w:type="dxa"/>
            <w:tcBorders>
              <w:top w:val="nil"/>
              <w:left w:val="nil"/>
              <w:bottom w:val="single" w:sz="4" w:space="0" w:color="auto"/>
              <w:right w:val="single" w:sz="4" w:space="0" w:color="auto"/>
            </w:tcBorders>
            <w:shd w:val="clear" w:color="auto" w:fill="auto"/>
            <w:noWrap/>
            <w:vAlign w:val="bottom"/>
            <w:hideMark/>
          </w:tcPr>
          <w:p w14:paraId="19FBBAF9"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1.168.776.261.526</w:t>
            </w:r>
          </w:p>
        </w:tc>
        <w:tc>
          <w:tcPr>
            <w:tcW w:w="748" w:type="dxa"/>
            <w:tcBorders>
              <w:top w:val="nil"/>
              <w:left w:val="nil"/>
              <w:bottom w:val="single" w:sz="4" w:space="0" w:color="auto"/>
              <w:right w:val="single" w:sz="4" w:space="0" w:color="auto"/>
            </w:tcBorders>
            <w:shd w:val="clear" w:color="auto" w:fill="auto"/>
            <w:noWrap/>
            <w:vAlign w:val="bottom"/>
            <w:hideMark/>
          </w:tcPr>
          <w:p w14:paraId="6940A6CA"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30,92</w:t>
            </w:r>
          </w:p>
        </w:tc>
        <w:tc>
          <w:tcPr>
            <w:tcW w:w="748" w:type="dxa"/>
            <w:tcBorders>
              <w:top w:val="nil"/>
              <w:left w:val="nil"/>
              <w:bottom w:val="single" w:sz="4" w:space="0" w:color="auto"/>
              <w:right w:val="single" w:sz="4" w:space="0" w:color="auto"/>
            </w:tcBorders>
            <w:shd w:val="clear" w:color="auto" w:fill="auto"/>
            <w:noWrap/>
            <w:vAlign w:val="bottom"/>
            <w:hideMark/>
          </w:tcPr>
          <w:p w14:paraId="704B8665"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26,01</w:t>
            </w:r>
          </w:p>
        </w:tc>
        <w:tc>
          <w:tcPr>
            <w:tcW w:w="748" w:type="dxa"/>
            <w:tcBorders>
              <w:top w:val="nil"/>
              <w:left w:val="nil"/>
              <w:bottom w:val="single" w:sz="4" w:space="0" w:color="auto"/>
              <w:right w:val="single" w:sz="8" w:space="0" w:color="auto"/>
            </w:tcBorders>
            <w:shd w:val="clear" w:color="auto" w:fill="auto"/>
            <w:noWrap/>
            <w:vAlign w:val="bottom"/>
            <w:hideMark/>
          </w:tcPr>
          <w:p w14:paraId="1C6FC9EE"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26,23</w:t>
            </w:r>
          </w:p>
        </w:tc>
      </w:tr>
      <w:tr w:rsidR="00E50C17" w:rsidRPr="004860F2" w14:paraId="099D12C9" w14:textId="77777777" w:rsidTr="007827DE">
        <w:trPr>
          <w:trHeight w:val="387"/>
          <w:jc w:val="center"/>
        </w:trPr>
        <w:tc>
          <w:tcPr>
            <w:tcW w:w="1516"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7B24E995" w14:textId="77777777" w:rsidR="00E50C17" w:rsidRPr="004860F2" w:rsidRDefault="00E50C17" w:rsidP="00E50C17">
            <w:pPr>
              <w:spacing w:after="0" w:line="240" w:lineRule="auto"/>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 xml:space="preserve">Catamarca </w:t>
            </w:r>
          </w:p>
        </w:tc>
        <w:tc>
          <w:tcPr>
            <w:tcW w:w="1854" w:type="dxa"/>
            <w:tcBorders>
              <w:top w:val="nil"/>
              <w:left w:val="nil"/>
              <w:bottom w:val="single" w:sz="4" w:space="0" w:color="auto"/>
              <w:right w:val="single" w:sz="4" w:space="0" w:color="auto"/>
            </w:tcBorders>
            <w:shd w:val="clear" w:color="auto" w:fill="auto"/>
            <w:noWrap/>
            <w:vAlign w:val="bottom"/>
            <w:hideMark/>
          </w:tcPr>
          <w:p w14:paraId="5221E8FF"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18.267.714.335</w:t>
            </w:r>
          </w:p>
        </w:tc>
        <w:tc>
          <w:tcPr>
            <w:tcW w:w="1865" w:type="dxa"/>
            <w:tcBorders>
              <w:top w:val="nil"/>
              <w:left w:val="nil"/>
              <w:bottom w:val="single" w:sz="4" w:space="0" w:color="auto"/>
              <w:right w:val="single" w:sz="4" w:space="0" w:color="auto"/>
            </w:tcBorders>
            <w:shd w:val="clear" w:color="auto" w:fill="auto"/>
            <w:noWrap/>
            <w:vAlign w:val="bottom"/>
            <w:hideMark/>
          </w:tcPr>
          <w:p w14:paraId="79F45FD1"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26.040.434.879</w:t>
            </w:r>
          </w:p>
        </w:tc>
        <w:tc>
          <w:tcPr>
            <w:tcW w:w="1857" w:type="dxa"/>
            <w:tcBorders>
              <w:top w:val="nil"/>
              <w:left w:val="nil"/>
              <w:bottom w:val="single" w:sz="4" w:space="0" w:color="auto"/>
              <w:right w:val="single" w:sz="4" w:space="0" w:color="auto"/>
            </w:tcBorders>
            <w:shd w:val="clear" w:color="auto" w:fill="auto"/>
            <w:noWrap/>
            <w:vAlign w:val="bottom"/>
            <w:hideMark/>
          </w:tcPr>
          <w:p w14:paraId="2F0CC552"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37.006.513.564</w:t>
            </w:r>
          </w:p>
        </w:tc>
        <w:tc>
          <w:tcPr>
            <w:tcW w:w="748" w:type="dxa"/>
            <w:tcBorders>
              <w:top w:val="nil"/>
              <w:left w:val="nil"/>
              <w:bottom w:val="single" w:sz="4" w:space="0" w:color="auto"/>
              <w:right w:val="single" w:sz="4" w:space="0" w:color="auto"/>
            </w:tcBorders>
            <w:shd w:val="clear" w:color="auto" w:fill="auto"/>
            <w:noWrap/>
            <w:vAlign w:val="bottom"/>
            <w:hideMark/>
          </w:tcPr>
          <w:p w14:paraId="17FA9FF3"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0,79</w:t>
            </w:r>
          </w:p>
        </w:tc>
        <w:tc>
          <w:tcPr>
            <w:tcW w:w="748" w:type="dxa"/>
            <w:tcBorders>
              <w:top w:val="nil"/>
              <w:left w:val="nil"/>
              <w:bottom w:val="single" w:sz="4" w:space="0" w:color="auto"/>
              <w:right w:val="single" w:sz="4" w:space="0" w:color="auto"/>
            </w:tcBorders>
            <w:shd w:val="clear" w:color="auto" w:fill="auto"/>
            <w:noWrap/>
            <w:vAlign w:val="bottom"/>
            <w:hideMark/>
          </w:tcPr>
          <w:p w14:paraId="04D6F9DC"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0,82</w:t>
            </w:r>
          </w:p>
        </w:tc>
        <w:tc>
          <w:tcPr>
            <w:tcW w:w="748" w:type="dxa"/>
            <w:tcBorders>
              <w:top w:val="nil"/>
              <w:left w:val="nil"/>
              <w:bottom w:val="single" w:sz="4" w:space="0" w:color="auto"/>
              <w:right w:val="single" w:sz="8" w:space="0" w:color="auto"/>
            </w:tcBorders>
            <w:shd w:val="clear" w:color="auto" w:fill="auto"/>
            <w:noWrap/>
            <w:vAlign w:val="bottom"/>
            <w:hideMark/>
          </w:tcPr>
          <w:p w14:paraId="463C1276"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0,83</w:t>
            </w:r>
          </w:p>
        </w:tc>
      </w:tr>
      <w:tr w:rsidR="00E50C17" w:rsidRPr="004860F2" w14:paraId="05E6260F" w14:textId="77777777" w:rsidTr="007827DE">
        <w:trPr>
          <w:trHeight w:val="387"/>
          <w:jc w:val="center"/>
        </w:trPr>
        <w:tc>
          <w:tcPr>
            <w:tcW w:w="1516"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69E65B4B" w14:textId="77777777" w:rsidR="00E50C17" w:rsidRPr="004860F2" w:rsidRDefault="00E50C17" w:rsidP="00E50C17">
            <w:pPr>
              <w:spacing w:after="0" w:line="240" w:lineRule="auto"/>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 xml:space="preserve">Córdoba </w:t>
            </w:r>
          </w:p>
        </w:tc>
        <w:tc>
          <w:tcPr>
            <w:tcW w:w="1854" w:type="dxa"/>
            <w:tcBorders>
              <w:top w:val="nil"/>
              <w:left w:val="nil"/>
              <w:bottom w:val="single" w:sz="4" w:space="0" w:color="auto"/>
              <w:right w:val="single" w:sz="4" w:space="0" w:color="auto"/>
            </w:tcBorders>
            <w:shd w:val="clear" w:color="auto" w:fill="auto"/>
            <w:noWrap/>
            <w:vAlign w:val="bottom"/>
            <w:hideMark/>
          </w:tcPr>
          <w:p w14:paraId="454947E1"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136.203.314.038</w:t>
            </w:r>
          </w:p>
        </w:tc>
        <w:tc>
          <w:tcPr>
            <w:tcW w:w="1865" w:type="dxa"/>
            <w:tcBorders>
              <w:top w:val="nil"/>
              <w:left w:val="nil"/>
              <w:bottom w:val="single" w:sz="4" w:space="0" w:color="auto"/>
              <w:right w:val="single" w:sz="4" w:space="0" w:color="auto"/>
            </w:tcBorders>
            <w:shd w:val="clear" w:color="auto" w:fill="auto"/>
            <w:noWrap/>
            <w:vAlign w:val="bottom"/>
            <w:hideMark/>
          </w:tcPr>
          <w:p w14:paraId="27575157"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185.823.321.717</w:t>
            </w:r>
          </w:p>
        </w:tc>
        <w:tc>
          <w:tcPr>
            <w:tcW w:w="1857" w:type="dxa"/>
            <w:tcBorders>
              <w:top w:val="nil"/>
              <w:left w:val="nil"/>
              <w:bottom w:val="single" w:sz="4" w:space="0" w:color="auto"/>
              <w:right w:val="single" w:sz="4" w:space="0" w:color="auto"/>
            </w:tcBorders>
            <w:shd w:val="clear" w:color="auto" w:fill="auto"/>
            <w:noWrap/>
            <w:vAlign w:val="bottom"/>
            <w:hideMark/>
          </w:tcPr>
          <w:p w14:paraId="5BD83ED6"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265.280.554.180</w:t>
            </w:r>
          </w:p>
        </w:tc>
        <w:tc>
          <w:tcPr>
            <w:tcW w:w="748" w:type="dxa"/>
            <w:tcBorders>
              <w:top w:val="nil"/>
              <w:left w:val="nil"/>
              <w:bottom w:val="single" w:sz="4" w:space="0" w:color="auto"/>
              <w:right w:val="single" w:sz="4" w:space="0" w:color="auto"/>
            </w:tcBorders>
            <w:shd w:val="clear" w:color="auto" w:fill="auto"/>
            <w:noWrap/>
            <w:vAlign w:val="bottom"/>
            <w:hideMark/>
          </w:tcPr>
          <w:p w14:paraId="11EF757B"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5,89</w:t>
            </w:r>
          </w:p>
        </w:tc>
        <w:tc>
          <w:tcPr>
            <w:tcW w:w="748" w:type="dxa"/>
            <w:tcBorders>
              <w:top w:val="nil"/>
              <w:left w:val="nil"/>
              <w:bottom w:val="single" w:sz="4" w:space="0" w:color="auto"/>
              <w:right w:val="single" w:sz="4" w:space="0" w:color="auto"/>
            </w:tcBorders>
            <w:shd w:val="clear" w:color="auto" w:fill="auto"/>
            <w:noWrap/>
            <w:vAlign w:val="bottom"/>
            <w:hideMark/>
          </w:tcPr>
          <w:p w14:paraId="2A7AAC14"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5,88</w:t>
            </w:r>
          </w:p>
        </w:tc>
        <w:tc>
          <w:tcPr>
            <w:tcW w:w="748" w:type="dxa"/>
            <w:tcBorders>
              <w:top w:val="nil"/>
              <w:left w:val="nil"/>
              <w:bottom w:val="single" w:sz="4" w:space="0" w:color="auto"/>
              <w:right w:val="single" w:sz="8" w:space="0" w:color="auto"/>
            </w:tcBorders>
            <w:shd w:val="clear" w:color="auto" w:fill="auto"/>
            <w:noWrap/>
            <w:vAlign w:val="bottom"/>
            <w:hideMark/>
          </w:tcPr>
          <w:p w14:paraId="3F283E2D"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5,95</w:t>
            </w:r>
          </w:p>
        </w:tc>
      </w:tr>
      <w:tr w:rsidR="00E50C17" w:rsidRPr="004860F2" w14:paraId="1A068163" w14:textId="77777777" w:rsidTr="007827DE">
        <w:trPr>
          <w:trHeight w:val="387"/>
          <w:jc w:val="center"/>
        </w:trPr>
        <w:tc>
          <w:tcPr>
            <w:tcW w:w="1516"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694EBB87" w14:textId="77777777" w:rsidR="00E50C17" w:rsidRPr="004860F2" w:rsidRDefault="00E50C17" w:rsidP="00E50C17">
            <w:pPr>
              <w:spacing w:after="0" w:line="240" w:lineRule="auto"/>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 xml:space="preserve">Corrientes </w:t>
            </w:r>
          </w:p>
        </w:tc>
        <w:tc>
          <w:tcPr>
            <w:tcW w:w="1854" w:type="dxa"/>
            <w:tcBorders>
              <w:top w:val="nil"/>
              <w:left w:val="nil"/>
              <w:bottom w:val="single" w:sz="4" w:space="0" w:color="auto"/>
              <w:right w:val="single" w:sz="4" w:space="0" w:color="auto"/>
            </w:tcBorders>
            <w:shd w:val="clear" w:color="auto" w:fill="auto"/>
            <w:noWrap/>
            <w:vAlign w:val="bottom"/>
            <w:hideMark/>
          </w:tcPr>
          <w:p w14:paraId="0C7D1F16"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40.196.246.692</w:t>
            </w:r>
          </w:p>
        </w:tc>
        <w:tc>
          <w:tcPr>
            <w:tcW w:w="1865" w:type="dxa"/>
            <w:tcBorders>
              <w:top w:val="nil"/>
              <w:left w:val="nil"/>
              <w:bottom w:val="single" w:sz="4" w:space="0" w:color="auto"/>
              <w:right w:val="single" w:sz="4" w:space="0" w:color="auto"/>
            </w:tcBorders>
            <w:shd w:val="clear" w:color="auto" w:fill="auto"/>
            <w:noWrap/>
            <w:vAlign w:val="bottom"/>
            <w:hideMark/>
          </w:tcPr>
          <w:p w14:paraId="371E37D4"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59.096.262.565</w:t>
            </w:r>
          </w:p>
        </w:tc>
        <w:tc>
          <w:tcPr>
            <w:tcW w:w="1857" w:type="dxa"/>
            <w:tcBorders>
              <w:top w:val="nil"/>
              <w:left w:val="nil"/>
              <w:bottom w:val="single" w:sz="4" w:space="0" w:color="auto"/>
              <w:right w:val="single" w:sz="4" w:space="0" w:color="auto"/>
            </w:tcBorders>
            <w:shd w:val="clear" w:color="auto" w:fill="auto"/>
            <w:noWrap/>
            <w:vAlign w:val="bottom"/>
            <w:hideMark/>
          </w:tcPr>
          <w:p w14:paraId="1D5099A2"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84.350.522.479</w:t>
            </w:r>
          </w:p>
        </w:tc>
        <w:tc>
          <w:tcPr>
            <w:tcW w:w="748" w:type="dxa"/>
            <w:tcBorders>
              <w:top w:val="nil"/>
              <w:left w:val="nil"/>
              <w:bottom w:val="single" w:sz="4" w:space="0" w:color="auto"/>
              <w:right w:val="single" w:sz="4" w:space="0" w:color="auto"/>
            </w:tcBorders>
            <w:shd w:val="clear" w:color="auto" w:fill="auto"/>
            <w:noWrap/>
            <w:vAlign w:val="bottom"/>
            <w:hideMark/>
          </w:tcPr>
          <w:p w14:paraId="3822989F"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1,74</w:t>
            </w:r>
          </w:p>
        </w:tc>
        <w:tc>
          <w:tcPr>
            <w:tcW w:w="748" w:type="dxa"/>
            <w:tcBorders>
              <w:top w:val="nil"/>
              <w:left w:val="nil"/>
              <w:bottom w:val="single" w:sz="4" w:space="0" w:color="auto"/>
              <w:right w:val="single" w:sz="4" w:space="0" w:color="auto"/>
            </w:tcBorders>
            <w:shd w:val="clear" w:color="auto" w:fill="auto"/>
            <w:noWrap/>
            <w:vAlign w:val="bottom"/>
            <w:hideMark/>
          </w:tcPr>
          <w:p w14:paraId="2245CB27"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1,87</w:t>
            </w:r>
          </w:p>
        </w:tc>
        <w:tc>
          <w:tcPr>
            <w:tcW w:w="748" w:type="dxa"/>
            <w:tcBorders>
              <w:top w:val="nil"/>
              <w:left w:val="nil"/>
              <w:bottom w:val="single" w:sz="4" w:space="0" w:color="auto"/>
              <w:right w:val="single" w:sz="8" w:space="0" w:color="auto"/>
            </w:tcBorders>
            <w:shd w:val="clear" w:color="auto" w:fill="auto"/>
            <w:noWrap/>
            <w:vAlign w:val="bottom"/>
            <w:hideMark/>
          </w:tcPr>
          <w:p w14:paraId="6A8F6444"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1,89</w:t>
            </w:r>
          </w:p>
        </w:tc>
      </w:tr>
      <w:tr w:rsidR="00E50C17" w:rsidRPr="004860F2" w14:paraId="1FE1E9D6" w14:textId="77777777" w:rsidTr="007827DE">
        <w:trPr>
          <w:trHeight w:val="387"/>
          <w:jc w:val="center"/>
        </w:trPr>
        <w:tc>
          <w:tcPr>
            <w:tcW w:w="1516"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069E7009" w14:textId="77777777" w:rsidR="00E50C17" w:rsidRPr="004860F2" w:rsidRDefault="00E50C17" w:rsidP="00E50C17">
            <w:pPr>
              <w:spacing w:after="0" w:line="240" w:lineRule="auto"/>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 xml:space="preserve">Chaco </w:t>
            </w:r>
          </w:p>
        </w:tc>
        <w:tc>
          <w:tcPr>
            <w:tcW w:w="1854" w:type="dxa"/>
            <w:tcBorders>
              <w:top w:val="nil"/>
              <w:left w:val="nil"/>
              <w:bottom w:val="single" w:sz="4" w:space="0" w:color="auto"/>
              <w:right w:val="single" w:sz="4" w:space="0" w:color="auto"/>
            </w:tcBorders>
            <w:shd w:val="clear" w:color="auto" w:fill="auto"/>
            <w:noWrap/>
            <w:vAlign w:val="bottom"/>
            <w:hideMark/>
          </w:tcPr>
          <w:p w14:paraId="073CBE2C"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39.925.862.850</w:t>
            </w:r>
          </w:p>
        </w:tc>
        <w:tc>
          <w:tcPr>
            <w:tcW w:w="1865" w:type="dxa"/>
            <w:tcBorders>
              <w:top w:val="nil"/>
              <w:left w:val="nil"/>
              <w:bottom w:val="single" w:sz="4" w:space="0" w:color="auto"/>
              <w:right w:val="single" w:sz="4" w:space="0" w:color="auto"/>
            </w:tcBorders>
            <w:shd w:val="clear" w:color="auto" w:fill="auto"/>
            <w:noWrap/>
            <w:vAlign w:val="bottom"/>
            <w:hideMark/>
          </w:tcPr>
          <w:p w14:paraId="40585A9A"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55.911.778.741</w:t>
            </w:r>
          </w:p>
        </w:tc>
        <w:tc>
          <w:tcPr>
            <w:tcW w:w="1857" w:type="dxa"/>
            <w:tcBorders>
              <w:top w:val="nil"/>
              <w:left w:val="nil"/>
              <w:bottom w:val="single" w:sz="4" w:space="0" w:color="auto"/>
              <w:right w:val="single" w:sz="4" w:space="0" w:color="auto"/>
            </w:tcBorders>
            <w:shd w:val="clear" w:color="auto" w:fill="auto"/>
            <w:noWrap/>
            <w:vAlign w:val="bottom"/>
            <w:hideMark/>
          </w:tcPr>
          <w:p w14:paraId="18989DC4"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80.734.531.226</w:t>
            </w:r>
          </w:p>
        </w:tc>
        <w:tc>
          <w:tcPr>
            <w:tcW w:w="748" w:type="dxa"/>
            <w:tcBorders>
              <w:top w:val="nil"/>
              <w:left w:val="nil"/>
              <w:bottom w:val="single" w:sz="4" w:space="0" w:color="auto"/>
              <w:right w:val="single" w:sz="4" w:space="0" w:color="auto"/>
            </w:tcBorders>
            <w:shd w:val="clear" w:color="auto" w:fill="auto"/>
            <w:noWrap/>
            <w:vAlign w:val="bottom"/>
            <w:hideMark/>
          </w:tcPr>
          <w:p w14:paraId="31E9172F"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1,73</w:t>
            </w:r>
          </w:p>
        </w:tc>
        <w:tc>
          <w:tcPr>
            <w:tcW w:w="748" w:type="dxa"/>
            <w:tcBorders>
              <w:top w:val="nil"/>
              <w:left w:val="nil"/>
              <w:bottom w:val="single" w:sz="4" w:space="0" w:color="auto"/>
              <w:right w:val="single" w:sz="4" w:space="0" w:color="auto"/>
            </w:tcBorders>
            <w:shd w:val="clear" w:color="auto" w:fill="auto"/>
            <w:noWrap/>
            <w:vAlign w:val="bottom"/>
            <w:hideMark/>
          </w:tcPr>
          <w:p w14:paraId="562B3BA4"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1,77</w:t>
            </w:r>
          </w:p>
        </w:tc>
        <w:tc>
          <w:tcPr>
            <w:tcW w:w="748" w:type="dxa"/>
            <w:tcBorders>
              <w:top w:val="nil"/>
              <w:left w:val="nil"/>
              <w:bottom w:val="single" w:sz="4" w:space="0" w:color="auto"/>
              <w:right w:val="single" w:sz="8" w:space="0" w:color="auto"/>
            </w:tcBorders>
            <w:shd w:val="clear" w:color="auto" w:fill="auto"/>
            <w:noWrap/>
            <w:vAlign w:val="bottom"/>
            <w:hideMark/>
          </w:tcPr>
          <w:p w14:paraId="539BED0D"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1,81</w:t>
            </w:r>
          </w:p>
        </w:tc>
      </w:tr>
      <w:tr w:rsidR="00E50C17" w:rsidRPr="004860F2" w14:paraId="2ED6183A" w14:textId="77777777" w:rsidTr="007827DE">
        <w:trPr>
          <w:trHeight w:val="387"/>
          <w:jc w:val="center"/>
        </w:trPr>
        <w:tc>
          <w:tcPr>
            <w:tcW w:w="1516"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38D46F9D" w14:textId="77777777" w:rsidR="00E50C17" w:rsidRPr="004860F2" w:rsidRDefault="00E50C17" w:rsidP="00E50C17">
            <w:pPr>
              <w:spacing w:after="0" w:line="240" w:lineRule="auto"/>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 xml:space="preserve">Chubut </w:t>
            </w:r>
          </w:p>
        </w:tc>
        <w:tc>
          <w:tcPr>
            <w:tcW w:w="1854" w:type="dxa"/>
            <w:tcBorders>
              <w:top w:val="nil"/>
              <w:left w:val="nil"/>
              <w:bottom w:val="single" w:sz="4" w:space="0" w:color="auto"/>
              <w:right w:val="single" w:sz="4" w:space="0" w:color="auto"/>
            </w:tcBorders>
            <w:shd w:val="clear" w:color="auto" w:fill="auto"/>
            <w:noWrap/>
            <w:vAlign w:val="bottom"/>
            <w:hideMark/>
          </w:tcPr>
          <w:p w14:paraId="48CAAEB4"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32.317.291.629</w:t>
            </w:r>
          </w:p>
        </w:tc>
        <w:tc>
          <w:tcPr>
            <w:tcW w:w="1865" w:type="dxa"/>
            <w:tcBorders>
              <w:top w:val="nil"/>
              <w:left w:val="nil"/>
              <w:bottom w:val="single" w:sz="4" w:space="0" w:color="auto"/>
              <w:right w:val="single" w:sz="4" w:space="0" w:color="auto"/>
            </w:tcBorders>
            <w:shd w:val="clear" w:color="auto" w:fill="auto"/>
            <w:noWrap/>
            <w:vAlign w:val="bottom"/>
            <w:hideMark/>
          </w:tcPr>
          <w:p w14:paraId="229D12F9"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47.280.950.839</w:t>
            </w:r>
          </w:p>
        </w:tc>
        <w:tc>
          <w:tcPr>
            <w:tcW w:w="1857" w:type="dxa"/>
            <w:tcBorders>
              <w:top w:val="nil"/>
              <w:left w:val="nil"/>
              <w:bottom w:val="single" w:sz="4" w:space="0" w:color="auto"/>
              <w:right w:val="single" w:sz="4" w:space="0" w:color="auto"/>
            </w:tcBorders>
            <w:shd w:val="clear" w:color="auto" w:fill="auto"/>
            <w:noWrap/>
            <w:vAlign w:val="bottom"/>
            <w:hideMark/>
          </w:tcPr>
          <w:p w14:paraId="7EED9D4A"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68.200.848.764</w:t>
            </w:r>
          </w:p>
        </w:tc>
        <w:tc>
          <w:tcPr>
            <w:tcW w:w="748" w:type="dxa"/>
            <w:tcBorders>
              <w:top w:val="nil"/>
              <w:left w:val="nil"/>
              <w:bottom w:val="single" w:sz="4" w:space="0" w:color="auto"/>
              <w:right w:val="single" w:sz="4" w:space="0" w:color="auto"/>
            </w:tcBorders>
            <w:shd w:val="clear" w:color="auto" w:fill="auto"/>
            <w:noWrap/>
            <w:vAlign w:val="bottom"/>
            <w:hideMark/>
          </w:tcPr>
          <w:p w14:paraId="7CB820FB"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1,40</w:t>
            </w:r>
          </w:p>
        </w:tc>
        <w:tc>
          <w:tcPr>
            <w:tcW w:w="748" w:type="dxa"/>
            <w:tcBorders>
              <w:top w:val="nil"/>
              <w:left w:val="nil"/>
              <w:bottom w:val="single" w:sz="4" w:space="0" w:color="auto"/>
              <w:right w:val="single" w:sz="4" w:space="0" w:color="auto"/>
            </w:tcBorders>
            <w:shd w:val="clear" w:color="auto" w:fill="auto"/>
            <w:noWrap/>
            <w:vAlign w:val="bottom"/>
            <w:hideMark/>
          </w:tcPr>
          <w:p w14:paraId="3ED63C30"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1,50</w:t>
            </w:r>
          </w:p>
        </w:tc>
        <w:tc>
          <w:tcPr>
            <w:tcW w:w="748" w:type="dxa"/>
            <w:tcBorders>
              <w:top w:val="nil"/>
              <w:left w:val="nil"/>
              <w:bottom w:val="single" w:sz="4" w:space="0" w:color="auto"/>
              <w:right w:val="single" w:sz="8" w:space="0" w:color="auto"/>
            </w:tcBorders>
            <w:shd w:val="clear" w:color="auto" w:fill="auto"/>
            <w:noWrap/>
            <w:vAlign w:val="bottom"/>
            <w:hideMark/>
          </w:tcPr>
          <w:p w14:paraId="3BCFD2C8"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1,53</w:t>
            </w:r>
          </w:p>
        </w:tc>
      </w:tr>
      <w:tr w:rsidR="00E50C17" w:rsidRPr="004860F2" w14:paraId="6735ADD1" w14:textId="77777777" w:rsidTr="007827DE">
        <w:trPr>
          <w:trHeight w:val="387"/>
          <w:jc w:val="center"/>
        </w:trPr>
        <w:tc>
          <w:tcPr>
            <w:tcW w:w="1516"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666C2D2E" w14:textId="77777777" w:rsidR="00E50C17" w:rsidRPr="004860F2" w:rsidRDefault="00E50C17" w:rsidP="00E50C17">
            <w:pPr>
              <w:spacing w:after="0" w:line="240" w:lineRule="auto"/>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 xml:space="preserve">Entre Ríos </w:t>
            </w:r>
          </w:p>
        </w:tc>
        <w:tc>
          <w:tcPr>
            <w:tcW w:w="1854" w:type="dxa"/>
            <w:tcBorders>
              <w:top w:val="nil"/>
              <w:left w:val="nil"/>
              <w:bottom w:val="single" w:sz="4" w:space="0" w:color="auto"/>
              <w:right w:val="single" w:sz="4" w:space="0" w:color="auto"/>
            </w:tcBorders>
            <w:shd w:val="clear" w:color="auto" w:fill="auto"/>
            <w:noWrap/>
            <w:vAlign w:val="bottom"/>
            <w:hideMark/>
          </w:tcPr>
          <w:p w14:paraId="5F0E1BD2"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48.519.622.758</w:t>
            </w:r>
          </w:p>
        </w:tc>
        <w:tc>
          <w:tcPr>
            <w:tcW w:w="1865" w:type="dxa"/>
            <w:tcBorders>
              <w:top w:val="nil"/>
              <w:left w:val="nil"/>
              <w:bottom w:val="single" w:sz="4" w:space="0" w:color="auto"/>
              <w:right w:val="single" w:sz="4" w:space="0" w:color="auto"/>
            </w:tcBorders>
            <w:shd w:val="clear" w:color="auto" w:fill="auto"/>
            <w:noWrap/>
            <w:vAlign w:val="bottom"/>
            <w:hideMark/>
          </w:tcPr>
          <w:p w14:paraId="3B4E2686"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64.143.796.901</w:t>
            </w:r>
          </w:p>
        </w:tc>
        <w:tc>
          <w:tcPr>
            <w:tcW w:w="1857" w:type="dxa"/>
            <w:tcBorders>
              <w:top w:val="nil"/>
              <w:left w:val="nil"/>
              <w:bottom w:val="single" w:sz="4" w:space="0" w:color="auto"/>
              <w:right w:val="single" w:sz="4" w:space="0" w:color="auto"/>
            </w:tcBorders>
            <w:shd w:val="clear" w:color="auto" w:fill="auto"/>
            <w:noWrap/>
            <w:vAlign w:val="bottom"/>
            <w:hideMark/>
          </w:tcPr>
          <w:p w14:paraId="4028B759"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90.940.442.476</w:t>
            </w:r>
          </w:p>
        </w:tc>
        <w:tc>
          <w:tcPr>
            <w:tcW w:w="748" w:type="dxa"/>
            <w:tcBorders>
              <w:top w:val="nil"/>
              <w:left w:val="nil"/>
              <w:bottom w:val="single" w:sz="4" w:space="0" w:color="auto"/>
              <w:right w:val="single" w:sz="4" w:space="0" w:color="auto"/>
            </w:tcBorders>
            <w:shd w:val="clear" w:color="auto" w:fill="auto"/>
            <w:noWrap/>
            <w:vAlign w:val="bottom"/>
            <w:hideMark/>
          </w:tcPr>
          <w:p w14:paraId="750EB4E9"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2,10</w:t>
            </w:r>
          </w:p>
        </w:tc>
        <w:tc>
          <w:tcPr>
            <w:tcW w:w="748" w:type="dxa"/>
            <w:tcBorders>
              <w:top w:val="nil"/>
              <w:left w:val="nil"/>
              <w:bottom w:val="single" w:sz="4" w:space="0" w:color="auto"/>
              <w:right w:val="single" w:sz="4" w:space="0" w:color="auto"/>
            </w:tcBorders>
            <w:shd w:val="clear" w:color="auto" w:fill="auto"/>
            <w:noWrap/>
            <w:vAlign w:val="bottom"/>
            <w:hideMark/>
          </w:tcPr>
          <w:p w14:paraId="503F37D8"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2,03</w:t>
            </w:r>
          </w:p>
        </w:tc>
        <w:tc>
          <w:tcPr>
            <w:tcW w:w="748" w:type="dxa"/>
            <w:tcBorders>
              <w:top w:val="nil"/>
              <w:left w:val="nil"/>
              <w:bottom w:val="single" w:sz="4" w:space="0" w:color="auto"/>
              <w:right w:val="single" w:sz="8" w:space="0" w:color="auto"/>
            </w:tcBorders>
            <w:shd w:val="clear" w:color="auto" w:fill="auto"/>
            <w:noWrap/>
            <w:vAlign w:val="bottom"/>
            <w:hideMark/>
          </w:tcPr>
          <w:p w14:paraId="244E3435"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2,04</w:t>
            </w:r>
          </w:p>
        </w:tc>
      </w:tr>
      <w:tr w:rsidR="00E50C17" w:rsidRPr="004860F2" w14:paraId="4BB6DFF4" w14:textId="77777777" w:rsidTr="007827DE">
        <w:trPr>
          <w:trHeight w:val="387"/>
          <w:jc w:val="center"/>
        </w:trPr>
        <w:tc>
          <w:tcPr>
            <w:tcW w:w="1516"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115A1F98" w14:textId="77777777" w:rsidR="00E50C17" w:rsidRPr="004860F2" w:rsidRDefault="00E50C17" w:rsidP="00E50C17">
            <w:pPr>
              <w:spacing w:after="0" w:line="240" w:lineRule="auto"/>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 xml:space="preserve">Formosa </w:t>
            </w:r>
          </w:p>
        </w:tc>
        <w:tc>
          <w:tcPr>
            <w:tcW w:w="1854" w:type="dxa"/>
            <w:tcBorders>
              <w:top w:val="nil"/>
              <w:left w:val="nil"/>
              <w:bottom w:val="single" w:sz="4" w:space="0" w:color="auto"/>
              <w:right w:val="single" w:sz="4" w:space="0" w:color="auto"/>
            </w:tcBorders>
            <w:shd w:val="clear" w:color="auto" w:fill="auto"/>
            <w:noWrap/>
            <w:vAlign w:val="bottom"/>
            <w:hideMark/>
          </w:tcPr>
          <w:p w14:paraId="497AB693"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20.420.585.570</w:t>
            </w:r>
          </w:p>
        </w:tc>
        <w:tc>
          <w:tcPr>
            <w:tcW w:w="1865" w:type="dxa"/>
            <w:tcBorders>
              <w:top w:val="nil"/>
              <w:left w:val="nil"/>
              <w:bottom w:val="single" w:sz="4" w:space="0" w:color="auto"/>
              <w:right w:val="single" w:sz="4" w:space="0" w:color="auto"/>
            </w:tcBorders>
            <w:shd w:val="clear" w:color="auto" w:fill="auto"/>
            <w:noWrap/>
            <w:vAlign w:val="bottom"/>
            <w:hideMark/>
          </w:tcPr>
          <w:p w14:paraId="03BB13A0"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29.371.590.467</w:t>
            </w:r>
          </w:p>
        </w:tc>
        <w:tc>
          <w:tcPr>
            <w:tcW w:w="1857" w:type="dxa"/>
            <w:tcBorders>
              <w:top w:val="nil"/>
              <w:left w:val="nil"/>
              <w:bottom w:val="single" w:sz="4" w:space="0" w:color="auto"/>
              <w:right w:val="single" w:sz="4" w:space="0" w:color="auto"/>
            </w:tcBorders>
            <w:shd w:val="clear" w:color="auto" w:fill="auto"/>
            <w:noWrap/>
            <w:vAlign w:val="bottom"/>
            <w:hideMark/>
          </w:tcPr>
          <w:p w14:paraId="3AEC9C05"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40.696.480.006</w:t>
            </w:r>
          </w:p>
        </w:tc>
        <w:tc>
          <w:tcPr>
            <w:tcW w:w="748" w:type="dxa"/>
            <w:tcBorders>
              <w:top w:val="nil"/>
              <w:left w:val="nil"/>
              <w:bottom w:val="single" w:sz="4" w:space="0" w:color="auto"/>
              <w:right w:val="single" w:sz="4" w:space="0" w:color="auto"/>
            </w:tcBorders>
            <w:shd w:val="clear" w:color="auto" w:fill="auto"/>
            <w:noWrap/>
            <w:vAlign w:val="bottom"/>
            <w:hideMark/>
          </w:tcPr>
          <w:p w14:paraId="222A3CD1"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0,88</w:t>
            </w:r>
          </w:p>
        </w:tc>
        <w:tc>
          <w:tcPr>
            <w:tcW w:w="748" w:type="dxa"/>
            <w:tcBorders>
              <w:top w:val="nil"/>
              <w:left w:val="nil"/>
              <w:bottom w:val="single" w:sz="4" w:space="0" w:color="auto"/>
              <w:right w:val="single" w:sz="4" w:space="0" w:color="auto"/>
            </w:tcBorders>
            <w:shd w:val="clear" w:color="auto" w:fill="auto"/>
            <w:noWrap/>
            <w:vAlign w:val="bottom"/>
            <w:hideMark/>
          </w:tcPr>
          <w:p w14:paraId="496BDEF7"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0,93</w:t>
            </w:r>
          </w:p>
        </w:tc>
        <w:tc>
          <w:tcPr>
            <w:tcW w:w="748" w:type="dxa"/>
            <w:tcBorders>
              <w:top w:val="nil"/>
              <w:left w:val="nil"/>
              <w:bottom w:val="single" w:sz="4" w:space="0" w:color="auto"/>
              <w:right w:val="single" w:sz="8" w:space="0" w:color="auto"/>
            </w:tcBorders>
            <w:shd w:val="clear" w:color="auto" w:fill="auto"/>
            <w:noWrap/>
            <w:vAlign w:val="bottom"/>
            <w:hideMark/>
          </w:tcPr>
          <w:p w14:paraId="4A5576AE"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0,91</w:t>
            </w:r>
          </w:p>
        </w:tc>
      </w:tr>
      <w:tr w:rsidR="00E50C17" w:rsidRPr="004860F2" w14:paraId="7F16E131" w14:textId="77777777" w:rsidTr="007827DE">
        <w:trPr>
          <w:trHeight w:val="387"/>
          <w:jc w:val="center"/>
        </w:trPr>
        <w:tc>
          <w:tcPr>
            <w:tcW w:w="1516"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41BA7F50" w14:textId="77777777" w:rsidR="00E50C17" w:rsidRPr="004860F2" w:rsidRDefault="00E50C17" w:rsidP="00E50C17">
            <w:pPr>
              <w:spacing w:after="0" w:line="240" w:lineRule="auto"/>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 xml:space="preserve">Jujuy </w:t>
            </w:r>
          </w:p>
        </w:tc>
        <w:tc>
          <w:tcPr>
            <w:tcW w:w="1854" w:type="dxa"/>
            <w:tcBorders>
              <w:top w:val="nil"/>
              <w:left w:val="nil"/>
              <w:bottom w:val="single" w:sz="4" w:space="0" w:color="auto"/>
              <w:right w:val="single" w:sz="4" w:space="0" w:color="auto"/>
            </w:tcBorders>
            <w:shd w:val="clear" w:color="auto" w:fill="auto"/>
            <w:noWrap/>
            <w:vAlign w:val="bottom"/>
            <w:hideMark/>
          </w:tcPr>
          <w:p w14:paraId="2AB2FA94"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29.540.328.081</w:t>
            </w:r>
          </w:p>
        </w:tc>
        <w:tc>
          <w:tcPr>
            <w:tcW w:w="1865" w:type="dxa"/>
            <w:tcBorders>
              <w:top w:val="nil"/>
              <w:left w:val="nil"/>
              <w:bottom w:val="single" w:sz="4" w:space="0" w:color="auto"/>
              <w:right w:val="single" w:sz="4" w:space="0" w:color="auto"/>
            </w:tcBorders>
            <w:shd w:val="clear" w:color="auto" w:fill="auto"/>
            <w:noWrap/>
            <w:vAlign w:val="bottom"/>
            <w:hideMark/>
          </w:tcPr>
          <w:p w14:paraId="2F43C36D"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42.906.905.943</w:t>
            </w:r>
          </w:p>
        </w:tc>
        <w:tc>
          <w:tcPr>
            <w:tcW w:w="1857" w:type="dxa"/>
            <w:tcBorders>
              <w:top w:val="nil"/>
              <w:left w:val="nil"/>
              <w:bottom w:val="single" w:sz="4" w:space="0" w:color="auto"/>
              <w:right w:val="single" w:sz="4" w:space="0" w:color="auto"/>
            </w:tcBorders>
            <w:shd w:val="clear" w:color="auto" w:fill="auto"/>
            <w:noWrap/>
            <w:vAlign w:val="bottom"/>
            <w:hideMark/>
          </w:tcPr>
          <w:p w14:paraId="55AD0743"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61.058.162.065</w:t>
            </w:r>
          </w:p>
        </w:tc>
        <w:tc>
          <w:tcPr>
            <w:tcW w:w="748" w:type="dxa"/>
            <w:tcBorders>
              <w:top w:val="nil"/>
              <w:left w:val="nil"/>
              <w:bottom w:val="single" w:sz="4" w:space="0" w:color="auto"/>
              <w:right w:val="single" w:sz="4" w:space="0" w:color="auto"/>
            </w:tcBorders>
            <w:shd w:val="clear" w:color="auto" w:fill="auto"/>
            <w:noWrap/>
            <w:vAlign w:val="bottom"/>
            <w:hideMark/>
          </w:tcPr>
          <w:p w14:paraId="69FC66EF"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1,28</w:t>
            </w:r>
          </w:p>
        </w:tc>
        <w:tc>
          <w:tcPr>
            <w:tcW w:w="748" w:type="dxa"/>
            <w:tcBorders>
              <w:top w:val="nil"/>
              <w:left w:val="nil"/>
              <w:bottom w:val="single" w:sz="4" w:space="0" w:color="auto"/>
              <w:right w:val="single" w:sz="4" w:space="0" w:color="auto"/>
            </w:tcBorders>
            <w:shd w:val="clear" w:color="auto" w:fill="auto"/>
            <w:noWrap/>
            <w:vAlign w:val="bottom"/>
            <w:hideMark/>
          </w:tcPr>
          <w:p w14:paraId="1305D79D"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1,36</w:t>
            </w:r>
          </w:p>
        </w:tc>
        <w:tc>
          <w:tcPr>
            <w:tcW w:w="748" w:type="dxa"/>
            <w:tcBorders>
              <w:top w:val="nil"/>
              <w:left w:val="nil"/>
              <w:bottom w:val="single" w:sz="4" w:space="0" w:color="auto"/>
              <w:right w:val="single" w:sz="8" w:space="0" w:color="auto"/>
            </w:tcBorders>
            <w:shd w:val="clear" w:color="auto" w:fill="auto"/>
            <w:noWrap/>
            <w:vAlign w:val="bottom"/>
            <w:hideMark/>
          </w:tcPr>
          <w:p w14:paraId="622D4E04"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1,37</w:t>
            </w:r>
          </w:p>
        </w:tc>
      </w:tr>
      <w:tr w:rsidR="00E50C17" w:rsidRPr="004860F2" w14:paraId="36644551" w14:textId="77777777" w:rsidTr="007827DE">
        <w:trPr>
          <w:trHeight w:val="387"/>
          <w:jc w:val="center"/>
        </w:trPr>
        <w:tc>
          <w:tcPr>
            <w:tcW w:w="1516"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2BCA0AAA" w14:textId="77777777" w:rsidR="00E50C17" w:rsidRPr="004860F2" w:rsidRDefault="00E50C17" w:rsidP="00E50C17">
            <w:pPr>
              <w:spacing w:after="0" w:line="240" w:lineRule="auto"/>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 xml:space="preserve">La Pampa </w:t>
            </w:r>
          </w:p>
        </w:tc>
        <w:tc>
          <w:tcPr>
            <w:tcW w:w="1854" w:type="dxa"/>
            <w:tcBorders>
              <w:top w:val="nil"/>
              <w:left w:val="nil"/>
              <w:bottom w:val="single" w:sz="4" w:space="0" w:color="auto"/>
              <w:right w:val="single" w:sz="4" w:space="0" w:color="auto"/>
            </w:tcBorders>
            <w:shd w:val="clear" w:color="auto" w:fill="auto"/>
            <w:noWrap/>
            <w:vAlign w:val="bottom"/>
            <w:hideMark/>
          </w:tcPr>
          <w:p w14:paraId="0107EAF6"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20.119.508.276</w:t>
            </w:r>
          </w:p>
        </w:tc>
        <w:tc>
          <w:tcPr>
            <w:tcW w:w="1865" w:type="dxa"/>
            <w:tcBorders>
              <w:top w:val="nil"/>
              <w:left w:val="nil"/>
              <w:bottom w:val="single" w:sz="4" w:space="0" w:color="auto"/>
              <w:right w:val="single" w:sz="4" w:space="0" w:color="auto"/>
            </w:tcBorders>
            <w:shd w:val="clear" w:color="auto" w:fill="auto"/>
            <w:noWrap/>
            <w:vAlign w:val="bottom"/>
            <w:hideMark/>
          </w:tcPr>
          <w:p w14:paraId="27CD929F"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29.335.377.442</w:t>
            </w:r>
          </w:p>
        </w:tc>
        <w:tc>
          <w:tcPr>
            <w:tcW w:w="1857" w:type="dxa"/>
            <w:tcBorders>
              <w:top w:val="nil"/>
              <w:left w:val="nil"/>
              <w:bottom w:val="single" w:sz="4" w:space="0" w:color="auto"/>
              <w:right w:val="single" w:sz="4" w:space="0" w:color="auto"/>
            </w:tcBorders>
            <w:shd w:val="clear" w:color="auto" w:fill="auto"/>
            <w:noWrap/>
            <w:vAlign w:val="bottom"/>
            <w:hideMark/>
          </w:tcPr>
          <w:p w14:paraId="147E9A88"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42.212.483.283</w:t>
            </w:r>
          </w:p>
        </w:tc>
        <w:tc>
          <w:tcPr>
            <w:tcW w:w="748" w:type="dxa"/>
            <w:tcBorders>
              <w:top w:val="nil"/>
              <w:left w:val="nil"/>
              <w:bottom w:val="single" w:sz="4" w:space="0" w:color="auto"/>
              <w:right w:val="single" w:sz="4" w:space="0" w:color="auto"/>
            </w:tcBorders>
            <w:shd w:val="clear" w:color="auto" w:fill="auto"/>
            <w:noWrap/>
            <w:vAlign w:val="bottom"/>
            <w:hideMark/>
          </w:tcPr>
          <w:p w14:paraId="57FB1E4C"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0,87</w:t>
            </w:r>
          </w:p>
        </w:tc>
        <w:tc>
          <w:tcPr>
            <w:tcW w:w="748" w:type="dxa"/>
            <w:tcBorders>
              <w:top w:val="nil"/>
              <w:left w:val="nil"/>
              <w:bottom w:val="single" w:sz="4" w:space="0" w:color="auto"/>
              <w:right w:val="single" w:sz="4" w:space="0" w:color="auto"/>
            </w:tcBorders>
            <w:shd w:val="clear" w:color="auto" w:fill="auto"/>
            <w:noWrap/>
            <w:vAlign w:val="bottom"/>
            <w:hideMark/>
          </w:tcPr>
          <w:p w14:paraId="57C6255C"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0,93</w:t>
            </w:r>
          </w:p>
        </w:tc>
        <w:tc>
          <w:tcPr>
            <w:tcW w:w="748" w:type="dxa"/>
            <w:tcBorders>
              <w:top w:val="nil"/>
              <w:left w:val="nil"/>
              <w:bottom w:val="single" w:sz="4" w:space="0" w:color="auto"/>
              <w:right w:val="single" w:sz="8" w:space="0" w:color="auto"/>
            </w:tcBorders>
            <w:shd w:val="clear" w:color="auto" w:fill="auto"/>
            <w:noWrap/>
            <w:vAlign w:val="bottom"/>
            <w:hideMark/>
          </w:tcPr>
          <w:p w14:paraId="67941130"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0,95</w:t>
            </w:r>
          </w:p>
        </w:tc>
      </w:tr>
      <w:tr w:rsidR="00E50C17" w:rsidRPr="004860F2" w14:paraId="6B6141E6" w14:textId="77777777" w:rsidTr="007827DE">
        <w:trPr>
          <w:trHeight w:val="387"/>
          <w:jc w:val="center"/>
        </w:trPr>
        <w:tc>
          <w:tcPr>
            <w:tcW w:w="1516"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3FC3F6F6" w14:textId="77777777" w:rsidR="00E50C17" w:rsidRPr="004860F2" w:rsidRDefault="00E50C17" w:rsidP="00E50C17">
            <w:pPr>
              <w:spacing w:after="0" w:line="240" w:lineRule="auto"/>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 xml:space="preserve">La Rioja </w:t>
            </w:r>
          </w:p>
        </w:tc>
        <w:tc>
          <w:tcPr>
            <w:tcW w:w="1854" w:type="dxa"/>
            <w:tcBorders>
              <w:top w:val="nil"/>
              <w:left w:val="nil"/>
              <w:bottom w:val="single" w:sz="4" w:space="0" w:color="auto"/>
              <w:right w:val="single" w:sz="4" w:space="0" w:color="auto"/>
            </w:tcBorders>
            <w:shd w:val="clear" w:color="auto" w:fill="auto"/>
            <w:noWrap/>
            <w:vAlign w:val="bottom"/>
            <w:hideMark/>
          </w:tcPr>
          <w:p w14:paraId="5BE62098"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21.016.405.192</w:t>
            </w:r>
          </w:p>
        </w:tc>
        <w:tc>
          <w:tcPr>
            <w:tcW w:w="1865" w:type="dxa"/>
            <w:tcBorders>
              <w:top w:val="nil"/>
              <w:left w:val="nil"/>
              <w:bottom w:val="single" w:sz="4" w:space="0" w:color="auto"/>
              <w:right w:val="single" w:sz="4" w:space="0" w:color="auto"/>
            </w:tcBorders>
            <w:shd w:val="clear" w:color="auto" w:fill="auto"/>
            <w:noWrap/>
            <w:vAlign w:val="bottom"/>
            <w:hideMark/>
          </w:tcPr>
          <w:p w14:paraId="267D5045"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28.755.178.289</w:t>
            </w:r>
          </w:p>
        </w:tc>
        <w:tc>
          <w:tcPr>
            <w:tcW w:w="1857" w:type="dxa"/>
            <w:tcBorders>
              <w:top w:val="nil"/>
              <w:left w:val="nil"/>
              <w:bottom w:val="single" w:sz="4" w:space="0" w:color="auto"/>
              <w:right w:val="single" w:sz="4" w:space="0" w:color="auto"/>
            </w:tcBorders>
            <w:shd w:val="clear" w:color="auto" w:fill="auto"/>
            <w:noWrap/>
            <w:vAlign w:val="bottom"/>
            <w:hideMark/>
          </w:tcPr>
          <w:p w14:paraId="307D33DF"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39.267.743.298</w:t>
            </w:r>
          </w:p>
        </w:tc>
        <w:tc>
          <w:tcPr>
            <w:tcW w:w="748" w:type="dxa"/>
            <w:tcBorders>
              <w:top w:val="nil"/>
              <w:left w:val="nil"/>
              <w:bottom w:val="single" w:sz="4" w:space="0" w:color="auto"/>
              <w:right w:val="single" w:sz="4" w:space="0" w:color="auto"/>
            </w:tcBorders>
            <w:shd w:val="clear" w:color="auto" w:fill="auto"/>
            <w:noWrap/>
            <w:vAlign w:val="bottom"/>
            <w:hideMark/>
          </w:tcPr>
          <w:p w14:paraId="4E3BAC75"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0,91</w:t>
            </w:r>
          </w:p>
        </w:tc>
        <w:tc>
          <w:tcPr>
            <w:tcW w:w="748" w:type="dxa"/>
            <w:tcBorders>
              <w:top w:val="nil"/>
              <w:left w:val="nil"/>
              <w:bottom w:val="single" w:sz="4" w:space="0" w:color="auto"/>
              <w:right w:val="single" w:sz="4" w:space="0" w:color="auto"/>
            </w:tcBorders>
            <w:shd w:val="clear" w:color="auto" w:fill="auto"/>
            <w:noWrap/>
            <w:vAlign w:val="bottom"/>
            <w:hideMark/>
          </w:tcPr>
          <w:p w14:paraId="6253D20E"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0,91</w:t>
            </w:r>
          </w:p>
        </w:tc>
        <w:tc>
          <w:tcPr>
            <w:tcW w:w="748" w:type="dxa"/>
            <w:tcBorders>
              <w:top w:val="nil"/>
              <w:left w:val="nil"/>
              <w:bottom w:val="single" w:sz="4" w:space="0" w:color="auto"/>
              <w:right w:val="single" w:sz="8" w:space="0" w:color="auto"/>
            </w:tcBorders>
            <w:shd w:val="clear" w:color="auto" w:fill="auto"/>
            <w:noWrap/>
            <w:vAlign w:val="bottom"/>
            <w:hideMark/>
          </w:tcPr>
          <w:p w14:paraId="44AE3CDA"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0,88</w:t>
            </w:r>
          </w:p>
        </w:tc>
      </w:tr>
      <w:tr w:rsidR="00E50C17" w:rsidRPr="004860F2" w14:paraId="1C74DFCC" w14:textId="77777777" w:rsidTr="007827DE">
        <w:trPr>
          <w:trHeight w:val="387"/>
          <w:jc w:val="center"/>
        </w:trPr>
        <w:tc>
          <w:tcPr>
            <w:tcW w:w="1516"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0D29F212" w14:textId="77777777" w:rsidR="00E50C17" w:rsidRPr="004860F2" w:rsidRDefault="00E50C17" w:rsidP="00E50C17">
            <w:pPr>
              <w:spacing w:after="0" w:line="240" w:lineRule="auto"/>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 xml:space="preserve">Mendoza </w:t>
            </w:r>
          </w:p>
        </w:tc>
        <w:tc>
          <w:tcPr>
            <w:tcW w:w="1854" w:type="dxa"/>
            <w:tcBorders>
              <w:top w:val="nil"/>
              <w:left w:val="nil"/>
              <w:bottom w:val="single" w:sz="4" w:space="0" w:color="auto"/>
              <w:right w:val="single" w:sz="4" w:space="0" w:color="auto"/>
            </w:tcBorders>
            <w:shd w:val="clear" w:color="auto" w:fill="auto"/>
            <w:noWrap/>
            <w:vAlign w:val="bottom"/>
            <w:hideMark/>
          </w:tcPr>
          <w:p w14:paraId="1D384407"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83.693.664.342</w:t>
            </w:r>
          </w:p>
        </w:tc>
        <w:tc>
          <w:tcPr>
            <w:tcW w:w="1865" w:type="dxa"/>
            <w:tcBorders>
              <w:top w:val="nil"/>
              <w:left w:val="nil"/>
              <w:bottom w:val="single" w:sz="4" w:space="0" w:color="auto"/>
              <w:right w:val="single" w:sz="4" w:space="0" w:color="auto"/>
            </w:tcBorders>
            <w:shd w:val="clear" w:color="auto" w:fill="auto"/>
            <w:noWrap/>
            <w:vAlign w:val="bottom"/>
            <w:hideMark/>
          </w:tcPr>
          <w:p w14:paraId="12968FD2"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114.852.832.819</w:t>
            </w:r>
          </w:p>
        </w:tc>
        <w:tc>
          <w:tcPr>
            <w:tcW w:w="1857" w:type="dxa"/>
            <w:tcBorders>
              <w:top w:val="nil"/>
              <w:left w:val="nil"/>
              <w:bottom w:val="single" w:sz="4" w:space="0" w:color="auto"/>
              <w:right w:val="single" w:sz="4" w:space="0" w:color="auto"/>
            </w:tcBorders>
            <w:shd w:val="clear" w:color="auto" w:fill="auto"/>
            <w:noWrap/>
            <w:vAlign w:val="bottom"/>
            <w:hideMark/>
          </w:tcPr>
          <w:p w14:paraId="35182582"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162.582.065.511</w:t>
            </w:r>
          </w:p>
        </w:tc>
        <w:tc>
          <w:tcPr>
            <w:tcW w:w="748" w:type="dxa"/>
            <w:tcBorders>
              <w:top w:val="nil"/>
              <w:left w:val="nil"/>
              <w:bottom w:val="single" w:sz="4" w:space="0" w:color="auto"/>
              <w:right w:val="single" w:sz="4" w:space="0" w:color="auto"/>
            </w:tcBorders>
            <w:shd w:val="clear" w:color="auto" w:fill="auto"/>
            <w:noWrap/>
            <w:vAlign w:val="bottom"/>
            <w:hideMark/>
          </w:tcPr>
          <w:p w14:paraId="7A63CB3B"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3,62</w:t>
            </w:r>
          </w:p>
        </w:tc>
        <w:tc>
          <w:tcPr>
            <w:tcW w:w="748" w:type="dxa"/>
            <w:tcBorders>
              <w:top w:val="nil"/>
              <w:left w:val="nil"/>
              <w:bottom w:val="single" w:sz="4" w:space="0" w:color="auto"/>
              <w:right w:val="single" w:sz="4" w:space="0" w:color="auto"/>
            </w:tcBorders>
            <w:shd w:val="clear" w:color="auto" w:fill="auto"/>
            <w:noWrap/>
            <w:vAlign w:val="bottom"/>
            <w:hideMark/>
          </w:tcPr>
          <w:p w14:paraId="6178A2EC"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3,63</w:t>
            </w:r>
          </w:p>
        </w:tc>
        <w:tc>
          <w:tcPr>
            <w:tcW w:w="748" w:type="dxa"/>
            <w:tcBorders>
              <w:top w:val="nil"/>
              <w:left w:val="nil"/>
              <w:bottom w:val="single" w:sz="4" w:space="0" w:color="auto"/>
              <w:right w:val="single" w:sz="8" w:space="0" w:color="auto"/>
            </w:tcBorders>
            <w:shd w:val="clear" w:color="auto" w:fill="auto"/>
            <w:noWrap/>
            <w:vAlign w:val="bottom"/>
            <w:hideMark/>
          </w:tcPr>
          <w:p w14:paraId="6C0F27C0"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3,65</w:t>
            </w:r>
          </w:p>
        </w:tc>
      </w:tr>
      <w:tr w:rsidR="00E50C17" w:rsidRPr="004860F2" w14:paraId="090461EA" w14:textId="77777777" w:rsidTr="007827DE">
        <w:trPr>
          <w:trHeight w:val="387"/>
          <w:jc w:val="center"/>
        </w:trPr>
        <w:tc>
          <w:tcPr>
            <w:tcW w:w="1516"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4ABA5014" w14:textId="77777777" w:rsidR="00E50C17" w:rsidRPr="004860F2" w:rsidRDefault="00E50C17" w:rsidP="00E50C17">
            <w:pPr>
              <w:spacing w:after="0" w:line="240" w:lineRule="auto"/>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 xml:space="preserve">Misiones </w:t>
            </w:r>
          </w:p>
        </w:tc>
        <w:tc>
          <w:tcPr>
            <w:tcW w:w="1854" w:type="dxa"/>
            <w:tcBorders>
              <w:top w:val="nil"/>
              <w:left w:val="nil"/>
              <w:bottom w:val="single" w:sz="4" w:space="0" w:color="auto"/>
              <w:right w:val="single" w:sz="4" w:space="0" w:color="auto"/>
            </w:tcBorders>
            <w:shd w:val="clear" w:color="auto" w:fill="auto"/>
            <w:noWrap/>
            <w:vAlign w:val="bottom"/>
            <w:hideMark/>
          </w:tcPr>
          <w:p w14:paraId="689EE73B"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41.982.783.842</w:t>
            </w:r>
          </w:p>
        </w:tc>
        <w:tc>
          <w:tcPr>
            <w:tcW w:w="1865" w:type="dxa"/>
            <w:tcBorders>
              <w:top w:val="nil"/>
              <w:left w:val="nil"/>
              <w:bottom w:val="single" w:sz="4" w:space="0" w:color="auto"/>
              <w:right w:val="single" w:sz="4" w:space="0" w:color="auto"/>
            </w:tcBorders>
            <w:shd w:val="clear" w:color="auto" w:fill="auto"/>
            <w:noWrap/>
            <w:vAlign w:val="bottom"/>
            <w:hideMark/>
          </w:tcPr>
          <w:p w14:paraId="3319A5B7"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60.828.987.582</w:t>
            </w:r>
          </w:p>
        </w:tc>
        <w:tc>
          <w:tcPr>
            <w:tcW w:w="1857" w:type="dxa"/>
            <w:tcBorders>
              <w:top w:val="nil"/>
              <w:left w:val="nil"/>
              <w:bottom w:val="single" w:sz="4" w:space="0" w:color="auto"/>
              <w:right w:val="single" w:sz="4" w:space="0" w:color="auto"/>
            </w:tcBorders>
            <w:shd w:val="clear" w:color="auto" w:fill="auto"/>
            <w:noWrap/>
            <w:vAlign w:val="bottom"/>
            <w:hideMark/>
          </w:tcPr>
          <w:p w14:paraId="79F72ACE"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85.831.083.737</w:t>
            </w:r>
          </w:p>
        </w:tc>
        <w:tc>
          <w:tcPr>
            <w:tcW w:w="748" w:type="dxa"/>
            <w:tcBorders>
              <w:top w:val="nil"/>
              <w:left w:val="nil"/>
              <w:bottom w:val="single" w:sz="4" w:space="0" w:color="auto"/>
              <w:right w:val="single" w:sz="4" w:space="0" w:color="auto"/>
            </w:tcBorders>
            <w:shd w:val="clear" w:color="auto" w:fill="auto"/>
            <w:noWrap/>
            <w:vAlign w:val="bottom"/>
            <w:hideMark/>
          </w:tcPr>
          <w:p w14:paraId="1A320C10"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1,82</w:t>
            </w:r>
          </w:p>
        </w:tc>
        <w:tc>
          <w:tcPr>
            <w:tcW w:w="748" w:type="dxa"/>
            <w:tcBorders>
              <w:top w:val="nil"/>
              <w:left w:val="nil"/>
              <w:bottom w:val="single" w:sz="4" w:space="0" w:color="auto"/>
              <w:right w:val="single" w:sz="4" w:space="0" w:color="auto"/>
            </w:tcBorders>
            <w:shd w:val="clear" w:color="auto" w:fill="auto"/>
            <w:noWrap/>
            <w:vAlign w:val="bottom"/>
            <w:hideMark/>
          </w:tcPr>
          <w:p w14:paraId="0D057298"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1,93</w:t>
            </w:r>
          </w:p>
        </w:tc>
        <w:tc>
          <w:tcPr>
            <w:tcW w:w="748" w:type="dxa"/>
            <w:tcBorders>
              <w:top w:val="nil"/>
              <w:left w:val="nil"/>
              <w:bottom w:val="single" w:sz="4" w:space="0" w:color="auto"/>
              <w:right w:val="single" w:sz="8" w:space="0" w:color="auto"/>
            </w:tcBorders>
            <w:shd w:val="clear" w:color="auto" w:fill="auto"/>
            <w:noWrap/>
            <w:vAlign w:val="bottom"/>
            <w:hideMark/>
          </w:tcPr>
          <w:p w14:paraId="2509EE36"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1,93</w:t>
            </w:r>
          </w:p>
        </w:tc>
      </w:tr>
      <w:tr w:rsidR="00E50C17" w:rsidRPr="004860F2" w14:paraId="68ED1FF7" w14:textId="77777777" w:rsidTr="007827DE">
        <w:trPr>
          <w:trHeight w:val="387"/>
          <w:jc w:val="center"/>
        </w:trPr>
        <w:tc>
          <w:tcPr>
            <w:tcW w:w="1516"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082D0EC0" w14:textId="77777777" w:rsidR="00E50C17" w:rsidRPr="004860F2" w:rsidRDefault="00E50C17" w:rsidP="00E50C17">
            <w:pPr>
              <w:spacing w:after="0" w:line="240" w:lineRule="auto"/>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 xml:space="preserve">Neuquén </w:t>
            </w:r>
          </w:p>
        </w:tc>
        <w:tc>
          <w:tcPr>
            <w:tcW w:w="1854" w:type="dxa"/>
            <w:tcBorders>
              <w:top w:val="nil"/>
              <w:left w:val="nil"/>
              <w:bottom w:val="single" w:sz="4" w:space="0" w:color="auto"/>
              <w:right w:val="single" w:sz="4" w:space="0" w:color="auto"/>
            </w:tcBorders>
            <w:shd w:val="clear" w:color="auto" w:fill="auto"/>
            <w:noWrap/>
            <w:vAlign w:val="bottom"/>
            <w:hideMark/>
          </w:tcPr>
          <w:p w14:paraId="439B8CD4"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29.822.684.724</w:t>
            </w:r>
          </w:p>
        </w:tc>
        <w:tc>
          <w:tcPr>
            <w:tcW w:w="1865" w:type="dxa"/>
            <w:tcBorders>
              <w:top w:val="nil"/>
              <w:left w:val="nil"/>
              <w:bottom w:val="single" w:sz="4" w:space="0" w:color="auto"/>
              <w:right w:val="single" w:sz="4" w:space="0" w:color="auto"/>
            </w:tcBorders>
            <w:shd w:val="clear" w:color="auto" w:fill="auto"/>
            <w:noWrap/>
            <w:vAlign w:val="bottom"/>
            <w:hideMark/>
          </w:tcPr>
          <w:p w14:paraId="417679E1"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43.055.817.336</w:t>
            </w:r>
          </w:p>
        </w:tc>
        <w:tc>
          <w:tcPr>
            <w:tcW w:w="1857" w:type="dxa"/>
            <w:tcBorders>
              <w:top w:val="nil"/>
              <w:left w:val="nil"/>
              <w:bottom w:val="single" w:sz="4" w:space="0" w:color="auto"/>
              <w:right w:val="single" w:sz="4" w:space="0" w:color="auto"/>
            </w:tcBorders>
            <w:shd w:val="clear" w:color="auto" w:fill="auto"/>
            <w:noWrap/>
            <w:vAlign w:val="bottom"/>
            <w:hideMark/>
          </w:tcPr>
          <w:p w14:paraId="792E96E9"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61.671.605.010</w:t>
            </w:r>
          </w:p>
        </w:tc>
        <w:tc>
          <w:tcPr>
            <w:tcW w:w="748" w:type="dxa"/>
            <w:tcBorders>
              <w:top w:val="nil"/>
              <w:left w:val="nil"/>
              <w:bottom w:val="single" w:sz="4" w:space="0" w:color="auto"/>
              <w:right w:val="single" w:sz="4" w:space="0" w:color="auto"/>
            </w:tcBorders>
            <w:shd w:val="clear" w:color="auto" w:fill="auto"/>
            <w:noWrap/>
            <w:vAlign w:val="bottom"/>
            <w:hideMark/>
          </w:tcPr>
          <w:p w14:paraId="0B60513F"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1,29</w:t>
            </w:r>
          </w:p>
        </w:tc>
        <w:tc>
          <w:tcPr>
            <w:tcW w:w="748" w:type="dxa"/>
            <w:tcBorders>
              <w:top w:val="nil"/>
              <w:left w:val="nil"/>
              <w:bottom w:val="single" w:sz="4" w:space="0" w:color="auto"/>
              <w:right w:val="single" w:sz="4" w:space="0" w:color="auto"/>
            </w:tcBorders>
            <w:shd w:val="clear" w:color="auto" w:fill="auto"/>
            <w:noWrap/>
            <w:vAlign w:val="bottom"/>
            <w:hideMark/>
          </w:tcPr>
          <w:p w14:paraId="0919A73F"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1,36</w:t>
            </w:r>
          </w:p>
        </w:tc>
        <w:tc>
          <w:tcPr>
            <w:tcW w:w="748" w:type="dxa"/>
            <w:tcBorders>
              <w:top w:val="nil"/>
              <w:left w:val="nil"/>
              <w:bottom w:val="single" w:sz="4" w:space="0" w:color="auto"/>
              <w:right w:val="single" w:sz="8" w:space="0" w:color="auto"/>
            </w:tcBorders>
            <w:shd w:val="clear" w:color="auto" w:fill="auto"/>
            <w:noWrap/>
            <w:vAlign w:val="bottom"/>
            <w:hideMark/>
          </w:tcPr>
          <w:p w14:paraId="3831C8B2"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1,38</w:t>
            </w:r>
          </w:p>
        </w:tc>
      </w:tr>
      <w:tr w:rsidR="00E50C17" w:rsidRPr="004860F2" w14:paraId="2CEBD10D" w14:textId="77777777" w:rsidTr="007827DE">
        <w:trPr>
          <w:trHeight w:val="387"/>
          <w:jc w:val="center"/>
        </w:trPr>
        <w:tc>
          <w:tcPr>
            <w:tcW w:w="1516"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6BF0359F" w14:textId="77777777" w:rsidR="00E50C17" w:rsidRPr="004860F2" w:rsidRDefault="00E50C17" w:rsidP="00E50C17">
            <w:pPr>
              <w:spacing w:after="0" w:line="240" w:lineRule="auto"/>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 xml:space="preserve">Río Negro </w:t>
            </w:r>
          </w:p>
        </w:tc>
        <w:tc>
          <w:tcPr>
            <w:tcW w:w="1854" w:type="dxa"/>
            <w:tcBorders>
              <w:top w:val="nil"/>
              <w:left w:val="nil"/>
              <w:bottom w:val="single" w:sz="4" w:space="0" w:color="auto"/>
              <w:right w:val="single" w:sz="4" w:space="0" w:color="auto"/>
            </w:tcBorders>
            <w:shd w:val="clear" w:color="auto" w:fill="auto"/>
            <w:noWrap/>
            <w:vAlign w:val="bottom"/>
            <w:hideMark/>
          </w:tcPr>
          <w:p w14:paraId="79460E5E"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47.072.135.619</w:t>
            </w:r>
          </w:p>
        </w:tc>
        <w:tc>
          <w:tcPr>
            <w:tcW w:w="1865" w:type="dxa"/>
            <w:tcBorders>
              <w:top w:val="nil"/>
              <w:left w:val="nil"/>
              <w:bottom w:val="single" w:sz="4" w:space="0" w:color="auto"/>
              <w:right w:val="single" w:sz="4" w:space="0" w:color="auto"/>
            </w:tcBorders>
            <w:shd w:val="clear" w:color="auto" w:fill="auto"/>
            <w:noWrap/>
            <w:vAlign w:val="bottom"/>
            <w:hideMark/>
          </w:tcPr>
          <w:p w14:paraId="0FA224DC"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66.891.082.549</w:t>
            </w:r>
          </w:p>
        </w:tc>
        <w:tc>
          <w:tcPr>
            <w:tcW w:w="1857" w:type="dxa"/>
            <w:tcBorders>
              <w:top w:val="nil"/>
              <w:left w:val="nil"/>
              <w:bottom w:val="single" w:sz="4" w:space="0" w:color="auto"/>
              <w:right w:val="single" w:sz="4" w:space="0" w:color="auto"/>
            </w:tcBorders>
            <w:shd w:val="clear" w:color="auto" w:fill="auto"/>
            <w:noWrap/>
            <w:vAlign w:val="bottom"/>
            <w:hideMark/>
          </w:tcPr>
          <w:p w14:paraId="5A6CD760"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96.014.693.810</w:t>
            </w:r>
          </w:p>
        </w:tc>
        <w:tc>
          <w:tcPr>
            <w:tcW w:w="748" w:type="dxa"/>
            <w:tcBorders>
              <w:top w:val="nil"/>
              <w:left w:val="nil"/>
              <w:bottom w:val="single" w:sz="4" w:space="0" w:color="auto"/>
              <w:right w:val="single" w:sz="4" w:space="0" w:color="auto"/>
            </w:tcBorders>
            <w:shd w:val="clear" w:color="auto" w:fill="auto"/>
            <w:noWrap/>
            <w:vAlign w:val="bottom"/>
            <w:hideMark/>
          </w:tcPr>
          <w:p w14:paraId="1C8F5458"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2,04</w:t>
            </w:r>
          </w:p>
        </w:tc>
        <w:tc>
          <w:tcPr>
            <w:tcW w:w="748" w:type="dxa"/>
            <w:tcBorders>
              <w:top w:val="nil"/>
              <w:left w:val="nil"/>
              <w:bottom w:val="single" w:sz="4" w:space="0" w:color="auto"/>
              <w:right w:val="single" w:sz="4" w:space="0" w:color="auto"/>
            </w:tcBorders>
            <w:shd w:val="clear" w:color="auto" w:fill="auto"/>
            <w:noWrap/>
            <w:vAlign w:val="bottom"/>
            <w:hideMark/>
          </w:tcPr>
          <w:p w14:paraId="41A37EF9"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2,12</w:t>
            </w:r>
          </w:p>
        </w:tc>
        <w:tc>
          <w:tcPr>
            <w:tcW w:w="748" w:type="dxa"/>
            <w:tcBorders>
              <w:top w:val="nil"/>
              <w:left w:val="nil"/>
              <w:bottom w:val="single" w:sz="4" w:space="0" w:color="auto"/>
              <w:right w:val="single" w:sz="8" w:space="0" w:color="auto"/>
            </w:tcBorders>
            <w:shd w:val="clear" w:color="auto" w:fill="auto"/>
            <w:noWrap/>
            <w:vAlign w:val="bottom"/>
            <w:hideMark/>
          </w:tcPr>
          <w:p w14:paraId="384AE97A"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2,15</w:t>
            </w:r>
          </w:p>
        </w:tc>
      </w:tr>
      <w:tr w:rsidR="00E50C17" w:rsidRPr="004860F2" w14:paraId="318C34CD" w14:textId="77777777" w:rsidTr="007827DE">
        <w:trPr>
          <w:trHeight w:val="387"/>
          <w:jc w:val="center"/>
        </w:trPr>
        <w:tc>
          <w:tcPr>
            <w:tcW w:w="1516"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6DBFB07E" w14:textId="77777777" w:rsidR="00E50C17" w:rsidRPr="004860F2" w:rsidRDefault="00E50C17" w:rsidP="00E50C17">
            <w:pPr>
              <w:spacing w:after="0" w:line="240" w:lineRule="auto"/>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 xml:space="preserve">Salta </w:t>
            </w:r>
          </w:p>
        </w:tc>
        <w:tc>
          <w:tcPr>
            <w:tcW w:w="1854" w:type="dxa"/>
            <w:tcBorders>
              <w:top w:val="nil"/>
              <w:left w:val="nil"/>
              <w:bottom w:val="single" w:sz="4" w:space="0" w:color="auto"/>
              <w:right w:val="single" w:sz="4" w:space="0" w:color="auto"/>
            </w:tcBorders>
            <w:shd w:val="clear" w:color="auto" w:fill="auto"/>
            <w:noWrap/>
            <w:vAlign w:val="bottom"/>
            <w:hideMark/>
          </w:tcPr>
          <w:p w14:paraId="6DE2CAA1"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56.924.399.610</w:t>
            </w:r>
          </w:p>
        </w:tc>
        <w:tc>
          <w:tcPr>
            <w:tcW w:w="1865" w:type="dxa"/>
            <w:tcBorders>
              <w:top w:val="nil"/>
              <w:left w:val="nil"/>
              <w:bottom w:val="single" w:sz="4" w:space="0" w:color="auto"/>
              <w:right w:val="single" w:sz="4" w:space="0" w:color="auto"/>
            </w:tcBorders>
            <w:shd w:val="clear" w:color="auto" w:fill="auto"/>
            <w:noWrap/>
            <w:vAlign w:val="bottom"/>
            <w:hideMark/>
          </w:tcPr>
          <w:p w14:paraId="3084823E"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77.044.103.858</w:t>
            </w:r>
          </w:p>
        </w:tc>
        <w:tc>
          <w:tcPr>
            <w:tcW w:w="1857" w:type="dxa"/>
            <w:tcBorders>
              <w:top w:val="nil"/>
              <w:left w:val="nil"/>
              <w:bottom w:val="single" w:sz="4" w:space="0" w:color="auto"/>
              <w:right w:val="single" w:sz="4" w:space="0" w:color="auto"/>
            </w:tcBorders>
            <w:shd w:val="clear" w:color="auto" w:fill="auto"/>
            <w:noWrap/>
            <w:vAlign w:val="bottom"/>
            <w:hideMark/>
          </w:tcPr>
          <w:p w14:paraId="668552D2"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109.455.346.933</w:t>
            </w:r>
          </w:p>
        </w:tc>
        <w:tc>
          <w:tcPr>
            <w:tcW w:w="748" w:type="dxa"/>
            <w:tcBorders>
              <w:top w:val="nil"/>
              <w:left w:val="nil"/>
              <w:bottom w:val="single" w:sz="4" w:space="0" w:color="auto"/>
              <w:right w:val="single" w:sz="4" w:space="0" w:color="auto"/>
            </w:tcBorders>
            <w:shd w:val="clear" w:color="auto" w:fill="auto"/>
            <w:noWrap/>
            <w:vAlign w:val="bottom"/>
            <w:hideMark/>
          </w:tcPr>
          <w:p w14:paraId="23C73B60"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2,46</w:t>
            </w:r>
          </w:p>
        </w:tc>
        <w:tc>
          <w:tcPr>
            <w:tcW w:w="748" w:type="dxa"/>
            <w:tcBorders>
              <w:top w:val="nil"/>
              <w:left w:val="nil"/>
              <w:bottom w:val="single" w:sz="4" w:space="0" w:color="auto"/>
              <w:right w:val="single" w:sz="4" w:space="0" w:color="auto"/>
            </w:tcBorders>
            <w:shd w:val="clear" w:color="auto" w:fill="auto"/>
            <w:noWrap/>
            <w:vAlign w:val="bottom"/>
            <w:hideMark/>
          </w:tcPr>
          <w:p w14:paraId="2D3D99BC"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2,44</w:t>
            </w:r>
          </w:p>
        </w:tc>
        <w:tc>
          <w:tcPr>
            <w:tcW w:w="748" w:type="dxa"/>
            <w:tcBorders>
              <w:top w:val="nil"/>
              <w:left w:val="nil"/>
              <w:bottom w:val="single" w:sz="4" w:space="0" w:color="auto"/>
              <w:right w:val="single" w:sz="8" w:space="0" w:color="auto"/>
            </w:tcBorders>
            <w:shd w:val="clear" w:color="auto" w:fill="auto"/>
            <w:noWrap/>
            <w:vAlign w:val="bottom"/>
            <w:hideMark/>
          </w:tcPr>
          <w:p w14:paraId="2F3F7C31"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2,46</w:t>
            </w:r>
          </w:p>
        </w:tc>
      </w:tr>
      <w:tr w:rsidR="00E50C17" w:rsidRPr="004860F2" w14:paraId="42D83F67" w14:textId="77777777" w:rsidTr="007827DE">
        <w:trPr>
          <w:trHeight w:val="387"/>
          <w:jc w:val="center"/>
        </w:trPr>
        <w:tc>
          <w:tcPr>
            <w:tcW w:w="1516"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6AD25D82" w14:textId="77777777" w:rsidR="00E50C17" w:rsidRPr="004860F2" w:rsidRDefault="00E50C17" w:rsidP="00E50C17">
            <w:pPr>
              <w:spacing w:after="0" w:line="240" w:lineRule="auto"/>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 xml:space="preserve">San Juan </w:t>
            </w:r>
          </w:p>
        </w:tc>
        <w:tc>
          <w:tcPr>
            <w:tcW w:w="1854" w:type="dxa"/>
            <w:tcBorders>
              <w:top w:val="nil"/>
              <w:left w:val="nil"/>
              <w:bottom w:val="single" w:sz="4" w:space="0" w:color="auto"/>
              <w:right w:val="single" w:sz="4" w:space="0" w:color="auto"/>
            </w:tcBorders>
            <w:shd w:val="clear" w:color="auto" w:fill="auto"/>
            <w:noWrap/>
            <w:vAlign w:val="bottom"/>
            <w:hideMark/>
          </w:tcPr>
          <w:p w14:paraId="235A378B"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36.508.854.697</w:t>
            </w:r>
          </w:p>
        </w:tc>
        <w:tc>
          <w:tcPr>
            <w:tcW w:w="1865" w:type="dxa"/>
            <w:tcBorders>
              <w:top w:val="nil"/>
              <w:left w:val="nil"/>
              <w:bottom w:val="single" w:sz="4" w:space="0" w:color="auto"/>
              <w:right w:val="single" w:sz="4" w:space="0" w:color="auto"/>
            </w:tcBorders>
            <w:shd w:val="clear" w:color="auto" w:fill="auto"/>
            <w:noWrap/>
            <w:vAlign w:val="bottom"/>
            <w:hideMark/>
          </w:tcPr>
          <w:p w14:paraId="571197F3"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53.719.879.964</w:t>
            </w:r>
          </w:p>
        </w:tc>
        <w:tc>
          <w:tcPr>
            <w:tcW w:w="1857" w:type="dxa"/>
            <w:tcBorders>
              <w:top w:val="nil"/>
              <w:left w:val="nil"/>
              <w:bottom w:val="single" w:sz="4" w:space="0" w:color="auto"/>
              <w:right w:val="single" w:sz="4" w:space="0" w:color="auto"/>
            </w:tcBorders>
            <w:shd w:val="clear" w:color="auto" w:fill="auto"/>
            <w:noWrap/>
            <w:vAlign w:val="bottom"/>
            <w:hideMark/>
          </w:tcPr>
          <w:p w14:paraId="58FF37EB"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76.240.777.702</w:t>
            </w:r>
          </w:p>
        </w:tc>
        <w:tc>
          <w:tcPr>
            <w:tcW w:w="748" w:type="dxa"/>
            <w:tcBorders>
              <w:top w:val="nil"/>
              <w:left w:val="nil"/>
              <w:bottom w:val="single" w:sz="4" w:space="0" w:color="auto"/>
              <w:right w:val="single" w:sz="4" w:space="0" w:color="auto"/>
            </w:tcBorders>
            <w:shd w:val="clear" w:color="auto" w:fill="auto"/>
            <w:noWrap/>
            <w:vAlign w:val="bottom"/>
            <w:hideMark/>
          </w:tcPr>
          <w:p w14:paraId="521108C3"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1,58</w:t>
            </w:r>
          </w:p>
        </w:tc>
        <w:tc>
          <w:tcPr>
            <w:tcW w:w="748" w:type="dxa"/>
            <w:tcBorders>
              <w:top w:val="nil"/>
              <w:left w:val="nil"/>
              <w:bottom w:val="single" w:sz="4" w:space="0" w:color="auto"/>
              <w:right w:val="single" w:sz="4" w:space="0" w:color="auto"/>
            </w:tcBorders>
            <w:shd w:val="clear" w:color="auto" w:fill="auto"/>
            <w:noWrap/>
            <w:vAlign w:val="bottom"/>
            <w:hideMark/>
          </w:tcPr>
          <w:p w14:paraId="728A0B3C"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1,70</w:t>
            </w:r>
          </w:p>
        </w:tc>
        <w:tc>
          <w:tcPr>
            <w:tcW w:w="748" w:type="dxa"/>
            <w:tcBorders>
              <w:top w:val="nil"/>
              <w:left w:val="nil"/>
              <w:bottom w:val="single" w:sz="4" w:space="0" w:color="auto"/>
              <w:right w:val="single" w:sz="8" w:space="0" w:color="auto"/>
            </w:tcBorders>
            <w:shd w:val="clear" w:color="auto" w:fill="auto"/>
            <w:noWrap/>
            <w:vAlign w:val="bottom"/>
            <w:hideMark/>
          </w:tcPr>
          <w:p w14:paraId="34DDFA4E"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1,71</w:t>
            </w:r>
          </w:p>
        </w:tc>
      </w:tr>
      <w:tr w:rsidR="00E50C17" w:rsidRPr="004860F2" w14:paraId="41954544" w14:textId="77777777" w:rsidTr="007827DE">
        <w:trPr>
          <w:trHeight w:val="387"/>
          <w:jc w:val="center"/>
        </w:trPr>
        <w:tc>
          <w:tcPr>
            <w:tcW w:w="1516"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7D052DAD" w14:textId="77777777" w:rsidR="00E50C17" w:rsidRPr="004860F2" w:rsidRDefault="00E50C17" w:rsidP="00E50C17">
            <w:pPr>
              <w:spacing w:after="0" w:line="240" w:lineRule="auto"/>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 xml:space="preserve">San Luis </w:t>
            </w:r>
          </w:p>
        </w:tc>
        <w:tc>
          <w:tcPr>
            <w:tcW w:w="1854" w:type="dxa"/>
            <w:tcBorders>
              <w:top w:val="nil"/>
              <w:left w:val="nil"/>
              <w:bottom w:val="single" w:sz="4" w:space="0" w:color="auto"/>
              <w:right w:val="single" w:sz="4" w:space="0" w:color="auto"/>
            </w:tcBorders>
            <w:shd w:val="clear" w:color="auto" w:fill="auto"/>
            <w:noWrap/>
            <w:vAlign w:val="bottom"/>
            <w:hideMark/>
          </w:tcPr>
          <w:p w14:paraId="4AB64F31"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21.458.503.682</w:t>
            </w:r>
          </w:p>
        </w:tc>
        <w:tc>
          <w:tcPr>
            <w:tcW w:w="1865" w:type="dxa"/>
            <w:tcBorders>
              <w:top w:val="nil"/>
              <w:left w:val="nil"/>
              <w:bottom w:val="single" w:sz="4" w:space="0" w:color="auto"/>
              <w:right w:val="single" w:sz="4" w:space="0" w:color="auto"/>
            </w:tcBorders>
            <w:shd w:val="clear" w:color="auto" w:fill="auto"/>
            <w:noWrap/>
            <w:vAlign w:val="bottom"/>
            <w:hideMark/>
          </w:tcPr>
          <w:p w14:paraId="4F08E2B1"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30.692.451.090</w:t>
            </w:r>
          </w:p>
        </w:tc>
        <w:tc>
          <w:tcPr>
            <w:tcW w:w="1857" w:type="dxa"/>
            <w:tcBorders>
              <w:top w:val="nil"/>
              <w:left w:val="nil"/>
              <w:bottom w:val="single" w:sz="4" w:space="0" w:color="auto"/>
              <w:right w:val="single" w:sz="4" w:space="0" w:color="auto"/>
            </w:tcBorders>
            <w:shd w:val="clear" w:color="auto" w:fill="auto"/>
            <w:noWrap/>
            <w:vAlign w:val="bottom"/>
            <w:hideMark/>
          </w:tcPr>
          <w:p w14:paraId="22ED7C9D"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44.359.081.501</w:t>
            </w:r>
          </w:p>
        </w:tc>
        <w:tc>
          <w:tcPr>
            <w:tcW w:w="748" w:type="dxa"/>
            <w:tcBorders>
              <w:top w:val="nil"/>
              <w:left w:val="nil"/>
              <w:bottom w:val="single" w:sz="4" w:space="0" w:color="auto"/>
              <w:right w:val="single" w:sz="4" w:space="0" w:color="auto"/>
            </w:tcBorders>
            <w:shd w:val="clear" w:color="auto" w:fill="auto"/>
            <w:noWrap/>
            <w:vAlign w:val="bottom"/>
            <w:hideMark/>
          </w:tcPr>
          <w:p w14:paraId="0BD2647C"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0,93</w:t>
            </w:r>
          </w:p>
        </w:tc>
        <w:tc>
          <w:tcPr>
            <w:tcW w:w="748" w:type="dxa"/>
            <w:tcBorders>
              <w:top w:val="nil"/>
              <w:left w:val="nil"/>
              <w:bottom w:val="single" w:sz="4" w:space="0" w:color="auto"/>
              <w:right w:val="single" w:sz="4" w:space="0" w:color="auto"/>
            </w:tcBorders>
            <w:shd w:val="clear" w:color="auto" w:fill="auto"/>
            <w:noWrap/>
            <w:vAlign w:val="bottom"/>
            <w:hideMark/>
          </w:tcPr>
          <w:p w14:paraId="2165AD89"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0,97</w:t>
            </w:r>
          </w:p>
        </w:tc>
        <w:tc>
          <w:tcPr>
            <w:tcW w:w="748" w:type="dxa"/>
            <w:tcBorders>
              <w:top w:val="nil"/>
              <w:left w:val="nil"/>
              <w:bottom w:val="single" w:sz="4" w:space="0" w:color="auto"/>
              <w:right w:val="single" w:sz="8" w:space="0" w:color="auto"/>
            </w:tcBorders>
            <w:shd w:val="clear" w:color="auto" w:fill="auto"/>
            <w:noWrap/>
            <w:vAlign w:val="bottom"/>
            <w:hideMark/>
          </w:tcPr>
          <w:p w14:paraId="54BF14FE"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1,00</w:t>
            </w:r>
          </w:p>
        </w:tc>
      </w:tr>
      <w:tr w:rsidR="00E50C17" w:rsidRPr="004860F2" w14:paraId="3D6C98A0" w14:textId="77777777" w:rsidTr="007827DE">
        <w:trPr>
          <w:trHeight w:val="387"/>
          <w:jc w:val="center"/>
        </w:trPr>
        <w:tc>
          <w:tcPr>
            <w:tcW w:w="1516"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168F1840" w14:textId="77777777" w:rsidR="00E50C17" w:rsidRPr="004860F2" w:rsidRDefault="00E50C17" w:rsidP="00E50C17">
            <w:pPr>
              <w:spacing w:after="0" w:line="240" w:lineRule="auto"/>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 xml:space="preserve">Santa Cruz </w:t>
            </w:r>
          </w:p>
        </w:tc>
        <w:tc>
          <w:tcPr>
            <w:tcW w:w="1854" w:type="dxa"/>
            <w:tcBorders>
              <w:top w:val="nil"/>
              <w:left w:val="nil"/>
              <w:bottom w:val="single" w:sz="4" w:space="0" w:color="auto"/>
              <w:right w:val="single" w:sz="4" w:space="0" w:color="auto"/>
            </w:tcBorders>
            <w:shd w:val="clear" w:color="auto" w:fill="auto"/>
            <w:noWrap/>
            <w:vAlign w:val="bottom"/>
            <w:hideMark/>
          </w:tcPr>
          <w:p w14:paraId="0AA1FADD"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26.914.004.099</w:t>
            </w:r>
          </w:p>
        </w:tc>
        <w:tc>
          <w:tcPr>
            <w:tcW w:w="1865" w:type="dxa"/>
            <w:tcBorders>
              <w:top w:val="nil"/>
              <w:left w:val="nil"/>
              <w:bottom w:val="single" w:sz="4" w:space="0" w:color="auto"/>
              <w:right w:val="single" w:sz="4" w:space="0" w:color="auto"/>
            </w:tcBorders>
            <w:shd w:val="clear" w:color="auto" w:fill="auto"/>
            <w:noWrap/>
            <w:vAlign w:val="bottom"/>
            <w:hideMark/>
          </w:tcPr>
          <w:p w14:paraId="032198D3"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27.025.690.768</w:t>
            </w:r>
          </w:p>
        </w:tc>
        <w:tc>
          <w:tcPr>
            <w:tcW w:w="1857" w:type="dxa"/>
            <w:tcBorders>
              <w:top w:val="nil"/>
              <w:left w:val="nil"/>
              <w:bottom w:val="single" w:sz="4" w:space="0" w:color="auto"/>
              <w:right w:val="single" w:sz="4" w:space="0" w:color="auto"/>
            </w:tcBorders>
            <w:shd w:val="clear" w:color="auto" w:fill="auto"/>
            <w:noWrap/>
            <w:vAlign w:val="bottom"/>
            <w:hideMark/>
          </w:tcPr>
          <w:p w14:paraId="3AF09465"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36.041.174.147</w:t>
            </w:r>
          </w:p>
        </w:tc>
        <w:tc>
          <w:tcPr>
            <w:tcW w:w="748" w:type="dxa"/>
            <w:tcBorders>
              <w:top w:val="nil"/>
              <w:left w:val="nil"/>
              <w:bottom w:val="single" w:sz="4" w:space="0" w:color="auto"/>
              <w:right w:val="single" w:sz="4" w:space="0" w:color="auto"/>
            </w:tcBorders>
            <w:shd w:val="clear" w:color="auto" w:fill="auto"/>
            <w:noWrap/>
            <w:vAlign w:val="bottom"/>
            <w:hideMark/>
          </w:tcPr>
          <w:p w14:paraId="3A79B3F2"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1,16</w:t>
            </w:r>
          </w:p>
        </w:tc>
        <w:tc>
          <w:tcPr>
            <w:tcW w:w="748" w:type="dxa"/>
            <w:tcBorders>
              <w:top w:val="nil"/>
              <w:left w:val="nil"/>
              <w:bottom w:val="single" w:sz="4" w:space="0" w:color="auto"/>
              <w:right w:val="single" w:sz="4" w:space="0" w:color="auto"/>
            </w:tcBorders>
            <w:shd w:val="clear" w:color="auto" w:fill="auto"/>
            <w:noWrap/>
            <w:vAlign w:val="bottom"/>
            <w:hideMark/>
          </w:tcPr>
          <w:p w14:paraId="69F91FCE"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0,86</w:t>
            </w:r>
          </w:p>
        </w:tc>
        <w:tc>
          <w:tcPr>
            <w:tcW w:w="748" w:type="dxa"/>
            <w:tcBorders>
              <w:top w:val="nil"/>
              <w:left w:val="nil"/>
              <w:bottom w:val="single" w:sz="4" w:space="0" w:color="auto"/>
              <w:right w:val="single" w:sz="8" w:space="0" w:color="auto"/>
            </w:tcBorders>
            <w:shd w:val="clear" w:color="auto" w:fill="auto"/>
            <w:noWrap/>
            <w:vAlign w:val="bottom"/>
            <w:hideMark/>
          </w:tcPr>
          <w:p w14:paraId="15461A53"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0,81</w:t>
            </w:r>
          </w:p>
        </w:tc>
      </w:tr>
      <w:tr w:rsidR="00E50C17" w:rsidRPr="004860F2" w14:paraId="00119E98" w14:textId="77777777" w:rsidTr="007827DE">
        <w:trPr>
          <w:trHeight w:val="387"/>
          <w:jc w:val="center"/>
        </w:trPr>
        <w:tc>
          <w:tcPr>
            <w:tcW w:w="1516"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0A280DFE" w14:textId="77777777" w:rsidR="00E50C17" w:rsidRPr="004860F2" w:rsidRDefault="00E50C17" w:rsidP="00E50C17">
            <w:pPr>
              <w:spacing w:after="0" w:line="240" w:lineRule="auto"/>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 xml:space="preserve">Santa Fe </w:t>
            </w:r>
          </w:p>
        </w:tc>
        <w:tc>
          <w:tcPr>
            <w:tcW w:w="1854" w:type="dxa"/>
            <w:tcBorders>
              <w:top w:val="nil"/>
              <w:left w:val="nil"/>
              <w:bottom w:val="single" w:sz="4" w:space="0" w:color="auto"/>
              <w:right w:val="single" w:sz="4" w:space="0" w:color="auto"/>
            </w:tcBorders>
            <w:shd w:val="clear" w:color="auto" w:fill="auto"/>
            <w:noWrap/>
            <w:vAlign w:val="bottom"/>
            <w:hideMark/>
          </w:tcPr>
          <w:p w14:paraId="3DAD70E9"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118.498.355.610</w:t>
            </w:r>
          </w:p>
        </w:tc>
        <w:tc>
          <w:tcPr>
            <w:tcW w:w="1865" w:type="dxa"/>
            <w:tcBorders>
              <w:top w:val="nil"/>
              <w:left w:val="nil"/>
              <w:bottom w:val="single" w:sz="4" w:space="0" w:color="auto"/>
              <w:right w:val="single" w:sz="4" w:space="0" w:color="auto"/>
            </w:tcBorders>
            <w:shd w:val="clear" w:color="auto" w:fill="auto"/>
            <w:noWrap/>
            <w:vAlign w:val="bottom"/>
            <w:hideMark/>
          </w:tcPr>
          <w:p w14:paraId="41D177DB"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168.470.055.030</w:t>
            </w:r>
          </w:p>
        </w:tc>
        <w:tc>
          <w:tcPr>
            <w:tcW w:w="1857" w:type="dxa"/>
            <w:tcBorders>
              <w:top w:val="nil"/>
              <w:left w:val="nil"/>
              <w:bottom w:val="single" w:sz="4" w:space="0" w:color="auto"/>
              <w:right w:val="single" w:sz="4" w:space="0" w:color="auto"/>
            </w:tcBorders>
            <w:shd w:val="clear" w:color="auto" w:fill="auto"/>
            <w:noWrap/>
            <w:vAlign w:val="bottom"/>
            <w:hideMark/>
          </w:tcPr>
          <w:p w14:paraId="1BEFE4E7"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245.251.712.285</w:t>
            </w:r>
          </w:p>
        </w:tc>
        <w:tc>
          <w:tcPr>
            <w:tcW w:w="748" w:type="dxa"/>
            <w:tcBorders>
              <w:top w:val="nil"/>
              <w:left w:val="nil"/>
              <w:bottom w:val="single" w:sz="4" w:space="0" w:color="auto"/>
              <w:right w:val="single" w:sz="4" w:space="0" w:color="auto"/>
            </w:tcBorders>
            <w:shd w:val="clear" w:color="auto" w:fill="auto"/>
            <w:noWrap/>
            <w:vAlign w:val="bottom"/>
            <w:hideMark/>
          </w:tcPr>
          <w:p w14:paraId="5D2D2B50"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5,12</w:t>
            </w:r>
          </w:p>
        </w:tc>
        <w:tc>
          <w:tcPr>
            <w:tcW w:w="748" w:type="dxa"/>
            <w:tcBorders>
              <w:top w:val="nil"/>
              <w:left w:val="nil"/>
              <w:bottom w:val="single" w:sz="4" w:space="0" w:color="auto"/>
              <w:right w:val="single" w:sz="4" w:space="0" w:color="auto"/>
            </w:tcBorders>
            <w:shd w:val="clear" w:color="auto" w:fill="auto"/>
            <w:noWrap/>
            <w:vAlign w:val="bottom"/>
            <w:hideMark/>
          </w:tcPr>
          <w:p w14:paraId="28E37B26"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5,33</w:t>
            </w:r>
          </w:p>
        </w:tc>
        <w:tc>
          <w:tcPr>
            <w:tcW w:w="748" w:type="dxa"/>
            <w:tcBorders>
              <w:top w:val="nil"/>
              <w:left w:val="nil"/>
              <w:bottom w:val="single" w:sz="4" w:space="0" w:color="auto"/>
              <w:right w:val="single" w:sz="8" w:space="0" w:color="auto"/>
            </w:tcBorders>
            <w:shd w:val="clear" w:color="auto" w:fill="auto"/>
            <w:noWrap/>
            <w:vAlign w:val="bottom"/>
            <w:hideMark/>
          </w:tcPr>
          <w:p w14:paraId="39F8278A"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5,50</w:t>
            </w:r>
          </w:p>
        </w:tc>
      </w:tr>
      <w:tr w:rsidR="00E50C17" w:rsidRPr="004860F2" w14:paraId="5DBED2FC" w14:textId="77777777" w:rsidTr="007827DE">
        <w:trPr>
          <w:trHeight w:val="387"/>
          <w:jc w:val="center"/>
        </w:trPr>
        <w:tc>
          <w:tcPr>
            <w:tcW w:w="1516"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3EFDEF4E" w14:textId="3A8FFF47" w:rsidR="00E50C17" w:rsidRPr="004860F2" w:rsidRDefault="00E50C17" w:rsidP="00E50C17">
            <w:pPr>
              <w:spacing w:after="0" w:line="240" w:lineRule="auto"/>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S</w:t>
            </w:r>
            <w:r w:rsidR="007827DE">
              <w:rPr>
                <w:rFonts w:ascii="Arial" w:eastAsia="Times New Roman" w:hAnsi="Arial" w:cs="Arial"/>
                <w:color w:val="000000"/>
                <w:sz w:val="20"/>
                <w:szCs w:val="20"/>
                <w:lang w:eastAsia="es-AR"/>
              </w:rPr>
              <w:t>.</w:t>
            </w:r>
            <w:r w:rsidRPr="004860F2">
              <w:rPr>
                <w:rFonts w:ascii="Arial" w:eastAsia="Times New Roman" w:hAnsi="Arial" w:cs="Arial"/>
                <w:color w:val="000000"/>
                <w:sz w:val="20"/>
                <w:szCs w:val="20"/>
                <w:lang w:eastAsia="es-AR"/>
              </w:rPr>
              <w:t xml:space="preserve"> del Estero </w:t>
            </w:r>
          </w:p>
        </w:tc>
        <w:tc>
          <w:tcPr>
            <w:tcW w:w="1854" w:type="dxa"/>
            <w:tcBorders>
              <w:top w:val="nil"/>
              <w:left w:val="nil"/>
              <w:bottom w:val="single" w:sz="4" w:space="0" w:color="auto"/>
              <w:right w:val="single" w:sz="4" w:space="0" w:color="auto"/>
            </w:tcBorders>
            <w:shd w:val="clear" w:color="auto" w:fill="auto"/>
            <w:noWrap/>
            <w:vAlign w:val="bottom"/>
            <w:hideMark/>
          </w:tcPr>
          <w:p w14:paraId="2ED2651F"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38.357.474.778</w:t>
            </w:r>
          </w:p>
        </w:tc>
        <w:tc>
          <w:tcPr>
            <w:tcW w:w="1865" w:type="dxa"/>
            <w:tcBorders>
              <w:top w:val="nil"/>
              <w:left w:val="nil"/>
              <w:bottom w:val="single" w:sz="4" w:space="0" w:color="auto"/>
              <w:right w:val="single" w:sz="4" w:space="0" w:color="auto"/>
            </w:tcBorders>
            <w:shd w:val="clear" w:color="auto" w:fill="auto"/>
            <w:noWrap/>
            <w:vAlign w:val="bottom"/>
            <w:hideMark/>
          </w:tcPr>
          <w:p w14:paraId="587E18F2"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56.223.194.307</w:t>
            </w:r>
          </w:p>
        </w:tc>
        <w:tc>
          <w:tcPr>
            <w:tcW w:w="1857" w:type="dxa"/>
            <w:tcBorders>
              <w:top w:val="nil"/>
              <w:left w:val="nil"/>
              <w:bottom w:val="single" w:sz="4" w:space="0" w:color="auto"/>
              <w:right w:val="single" w:sz="4" w:space="0" w:color="auto"/>
            </w:tcBorders>
            <w:shd w:val="clear" w:color="auto" w:fill="auto"/>
            <w:noWrap/>
            <w:vAlign w:val="bottom"/>
            <w:hideMark/>
          </w:tcPr>
          <w:p w14:paraId="788FEF13"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79.757.283.941</w:t>
            </w:r>
          </w:p>
        </w:tc>
        <w:tc>
          <w:tcPr>
            <w:tcW w:w="748" w:type="dxa"/>
            <w:tcBorders>
              <w:top w:val="nil"/>
              <w:left w:val="nil"/>
              <w:bottom w:val="single" w:sz="4" w:space="0" w:color="auto"/>
              <w:right w:val="single" w:sz="4" w:space="0" w:color="auto"/>
            </w:tcBorders>
            <w:shd w:val="clear" w:color="auto" w:fill="auto"/>
            <w:noWrap/>
            <w:vAlign w:val="bottom"/>
            <w:hideMark/>
          </w:tcPr>
          <w:p w14:paraId="44D3B313"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1,66</w:t>
            </w:r>
          </w:p>
        </w:tc>
        <w:tc>
          <w:tcPr>
            <w:tcW w:w="748" w:type="dxa"/>
            <w:tcBorders>
              <w:top w:val="nil"/>
              <w:left w:val="nil"/>
              <w:bottom w:val="single" w:sz="4" w:space="0" w:color="auto"/>
              <w:right w:val="single" w:sz="4" w:space="0" w:color="auto"/>
            </w:tcBorders>
            <w:shd w:val="clear" w:color="auto" w:fill="auto"/>
            <w:noWrap/>
            <w:vAlign w:val="bottom"/>
            <w:hideMark/>
          </w:tcPr>
          <w:p w14:paraId="0889AD75"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1,78</w:t>
            </w:r>
          </w:p>
        </w:tc>
        <w:tc>
          <w:tcPr>
            <w:tcW w:w="748" w:type="dxa"/>
            <w:tcBorders>
              <w:top w:val="nil"/>
              <w:left w:val="nil"/>
              <w:bottom w:val="single" w:sz="4" w:space="0" w:color="auto"/>
              <w:right w:val="single" w:sz="8" w:space="0" w:color="auto"/>
            </w:tcBorders>
            <w:shd w:val="clear" w:color="auto" w:fill="auto"/>
            <w:noWrap/>
            <w:vAlign w:val="bottom"/>
            <w:hideMark/>
          </w:tcPr>
          <w:p w14:paraId="24D014E8"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1,79</w:t>
            </w:r>
          </w:p>
        </w:tc>
      </w:tr>
      <w:tr w:rsidR="00E50C17" w:rsidRPr="004860F2" w14:paraId="4D077B8E" w14:textId="77777777" w:rsidTr="007827DE">
        <w:trPr>
          <w:trHeight w:val="387"/>
          <w:jc w:val="center"/>
        </w:trPr>
        <w:tc>
          <w:tcPr>
            <w:tcW w:w="1516"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7CB0EB0E" w14:textId="77777777" w:rsidR="00E50C17" w:rsidRPr="004860F2" w:rsidRDefault="00E50C17" w:rsidP="00E50C17">
            <w:pPr>
              <w:spacing w:after="0" w:line="240" w:lineRule="auto"/>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 xml:space="preserve">Tucumán </w:t>
            </w:r>
          </w:p>
        </w:tc>
        <w:tc>
          <w:tcPr>
            <w:tcW w:w="1854" w:type="dxa"/>
            <w:tcBorders>
              <w:top w:val="nil"/>
              <w:left w:val="nil"/>
              <w:bottom w:val="single" w:sz="4" w:space="0" w:color="auto"/>
              <w:right w:val="single" w:sz="4" w:space="0" w:color="auto"/>
            </w:tcBorders>
            <w:shd w:val="clear" w:color="auto" w:fill="auto"/>
            <w:noWrap/>
            <w:vAlign w:val="bottom"/>
            <w:hideMark/>
          </w:tcPr>
          <w:p w14:paraId="2A366C4D"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66.243.682.614</w:t>
            </w:r>
          </w:p>
        </w:tc>
        <w:tc>
          <w:tcPr>
            <w:tcW w:w="1865" w:type="dxa"/>
            <w:tcBorders>
              <w:top w:val="nil"/>
              <w:left w:val="nil"/>
              <w:bottom w:val="single" w:sz="4" w:space="0" w:color="auto"/>
              <w:right w:val="single" w:sz="4" w:space="0" w:color="auto"/>
            </w:tcBorders>
            <w:shd w:val="clear" w:color="auto" w:fill="auto"/>
            <w:noWrap/>
            <w:vAlign w:val="bottom"/>
            <w:hideMark/>
          </w:tcPr>
          <w:p w14:paraId="04E59553"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92.131.296.104</w:t>
            </w:r>
          </w:p>
        </w:tc>
        <w:tc>
          <w:tcPr>
            <w:tcW w:w="1857" w:type="dxa"/>
            <w:tcBorders>
              <w:top w:val="nil"/>
              <w:left w:val="nil"/>
              <w:bottom w:val="single" w:sz="4" w:space="0" w:color="auto"/>
              <w:right w:val="single" w:sz="4" w:space="0" w:color="auto"/>
            </w:tcBorders>
            <w:shd w:val="clear" w:color="auto" w:fill="auto"/>
            <w:noWrap/>
            <w:vAlign w:val="bottom"/>
            <w:hideMark/>
          </w:tcPr>
          <w:p w14:paraId="769E5256"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130.021.256.627</w:t>
            </w:r>
          </w:p>
        </w:tc>
        <w:tc>
          <w:tcPr>
            <w:tcW w:w="748" w:type="dxa"/>
            <w:tcBorders>
              <w:top w:val="nil"/>
              <w:left w:val="nil"/>
              <w:bottom w:val="single" w:sz="4" w:space="0" w:color="auto"/>
              <w:right w:val="single" w:sz="4" w:space="0" w:color="auto"/>
            </w:tcBorders>
            <w:shd w:val="clear" w:color="auto" w:fill="auto"/>
            <w:noWrap/>
            <w:vAlign w:val="bottom"/>
            <w:hideMark/>
          </w:tcPr>
          <w:p w14:paraId="32C9AE7F"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2,86</w:t>
            </w:r>
          </w:p>
        </w:tc>
        <w:tc>
          <w:tcPr>
            <w:tcW w:w="748" w:type="dxa"/>
            <w:tcBorders>
              <w:top w:val="nil"/>
              <w:left w:val="nil"/>
              <w:bottom w:val="single" w:sz="4" w:space="0" w:color="auto"/>
              <w:right w:val="single" w:sz="4" w:space="0" w:color="auto"/>
            </w:tcBorders>
            <w:shd w:val="clear" w:color="auto" w:fill="auto"/>
            <w:noWrap/>
            <w:vAlign w:val="bottom"/>
            <w:hideMark/>
          </w:tcPr>
          <w:p w14:paraId="7E37FE59"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2,92</w:t>
            </w:r>
          </w:p>
        </w:tc>
        <w:tc>
          <w:tcPr>
            <w:tcW w:w="748" w:type="dxa"/>
            <w:tcBorders>
              <w:top w:val="nil"/>
              <w:left w:val="nil"/>
              <w:bottom w:val="single" w:sz="4" w:space="0" w:color="auto"/>
              <w:right w:val="single" w:sz="8" w:space="0" w:color="auto"/>
            </w:tcBorders>
            <w:shd w:val="clear" w:color="auto" w:fill="auto"/>
            <w:noWrap/>
            <w:vAlign w:val="bottom"/>
            <w:hideMark/>
          </w:tcPr>
          <w:p w14:paraId="45258FB9"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2,92</w:t>
            </w:r>
          </w:p>
        </w:tc>
      </w:tr>
      <w:tr w:rsidR="00E50C17" w:rsidRPr="004860F2" w14:paraId="778AD67A" w14:textId="77777777" w:rsidTr="007827DE">
        <w:trPr>
          <w:trHeight w:val="387"/>
          <w:jc w:val="center"/>
        </w:trPr>
        <w:tc>
          <w:tcPr>
            <w:tcW w:w="1516"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331BDE23" w14:textId="414125BA" w:rsidR="00E50C17" w:rsidRPr="004860F2" w:rsidRDefault="00E50C17" w:rsidP="00E50C17">
            <w:pPr>
              <w:spacing w:after="0" w:line="240" w:lineRule="auto"/>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T</w:t>
            </w:r>
            <w:r w:rsidR="007827DE">
              <w:rPr>
                <w:rFonts w:ascii="Arial" w:eastAsia="Times New Roman" w:hAnsi="Arial" w:cs="Arial"/>
                <w:color w:val="000000"/>
                <w:sz w:val="20"/>
                <w:szCs w:val="20"/>
                <w:lang w:eastAsia="es-AR"/>
              </w:rPr>
              <w:t xml:space="preserve">. </w:t>
            </w:r>
            <w:r w:rsidRPr="004860F2">
              <w:rPr>
                <w:rFonts w:ascii="Arial" w:eastAsia="Times New Roman" w:hAnsi="Arial" w:cs="Arial"/>
                <w:color w:val="000000"/>
                <w:sz w:val="20"/>
                <w:szCs w:val="20"/>
                <w:lang w:eastAsia="es-AR"/>
              </w:rPr>
              <w:t xml:space="preserve">del Fuego </w:t>
            </w:r>
          </w:p>
        </w:tc>
        <w:tc>
          <w:tcPr>
            <w:tcW w:w="1854" w:type="dxa"/>
            <w:tcBorders>
              <w:top w:val="nil"/>
              <w:left w:val="nil"/>
              <w:bottom w:val="single" w:sz="4" w:space="0" w:color="auto"/>
              <w:right w:val="single" w:sz="4" w:space="0" w:color="auto"/>
            </w:tcBorders>
            <w:shd w:val="clear" w:color="auto" w:fill="auto"/>
            <w:noWrap/>
            <w:vAlign w:val="bottom"/>
            <w:hideMark/>
          </w:tcPr>
          <w:p w14:paraId="4F25BF9A"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10.152.022.362</w:t>
            </w:r>
          </w:p>
        </w:tc>
        <w:tc>
          <w:tcPr>
            <w:tcW w:w="1865" w:type="dxa"/>
            <w:tcBorders>
              <w:top w:val="nil"/>
              <w:left w:val="nil"/>
              <w:bottom w:val="single" w:sz="4" w:space="0" w:color="auto"/>
              <w:right w:val="single" w:sz="4" w:space="0" w:color="auto"/>
            </w:tcBorders>
            <w:shd w:val="clear" w:color="auto" w:fill="auto"/>
            <w:noWrap/>
            <w:vAlign w:val="bottom"/>
            <w:hideMark/>
          </w:tcPr>
          <w:p w14:paraId="76345D72"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12.037.663.237</w:t>
            </w:r>
          </w:p>
        </w:tc>
        <w:tc>
          <w:tcPr>
            <w:tcW w:w="1857" w:type="dxa"/>
            <w:tcBorders>
              <w:top w:val="nil"/>
              <w:left w:val="nil"/>
              <w:bottom w:val="single" w:sz="4" w:space="0" w:color="auto"/>
              <w:right w:val="single" w:sz="4" w:space="0" w:color="auto"/>
            </w:tcBorders>
            <w:shd w:val="clear" w:color="auto" w:fill="auto"/>
            <w:noWrap/>
            <w:vAlign w:val="bottom"/>
            <w:hideMark/>
          </w:tcPr>
          <w:p w14:paraId="51F1CAD6"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17.549.379.300</w:t>
            </w:r>
          </w:p>
        </w:tc>
        <w:tc>
          <w:tcPr>
            <w:tcW w:w="748" w:type="dxa"/>
            <w:tcBorders>
              <w:top w:val="nil"/>
              <w:left w:val="nil"/>
              <w:bottom w:val="single" w:sz="4" w:space="0" w:color="auto"/>
              <w:right w:val="single" w:sz="4" w:space="0" w:color="auto"/>
            </w:tcBorders>
            <w:shd w:val="clear" w:color="auto" w:fill="auto"/>
            <w:noWrap/>
            <w:vAlign w:val="bottom"/>
            <w:hideMark/>
          </w:tcPr>
          <w:p w14:paraId="43FF474A"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0,44</w:t>
            </w:r>
          </w:p>
        </w:tc>
        <w:tc>
          <w:tcPr>
            <w:tcW w:w="748" w:type="dxa"/>
            <w:tcBorders>
              <w:top w:val="nil"/>
              <w:left w:val="nil"/>
              <w:bottom w:val="single" w:sz="4" w:space="0" w:color="auto"/>
              <w:right w:val="single" w:sz="4" w:space="0" w:color="auto"/>
            </w:tcBorders>
            <w:shd w:val="clear" w:color="auto" w:fill="auto"/>
            <w:noWrap/>
            <w:vAlign w:val="bottom"/>
            <w:hideMark/>
          </w:tcPr>
          <w:p w14:paraId="335EA9AA"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0,38</w:t>
            </w:r>
          </w:p>
        </w:tc>
        <w:tc>
          <w:tcPr>
            <w:tcW w:w="748" w:type="dxa"/>
            <w:tcBorders>
              <w:top w:val="nil"/>
              <w:left w:val="nil"/>
              <w:bottom w:val="single" w:sz="4" w:space="0" w:color="auto"/>
              <w:right w:val="single" w:sz="8" w:space="0" w:color="auto"/>
            </w:tcBorders>
            <w:shd w:val="clear" w:color="auto" w:fill="auto"/>
            <w:noWrap/>
            <w:vAlign w:val="bottom"/>
            <w:hideMark/>
          </w:tcPr>
          <w:p w14:paraId="519FB90C" w14:textId="77777777" w:rsidR="00E50C17" w:rsidRPr="004860F2" w:rsidRDefault="00E50C17" w:rsidP="00E50C17">
            <w:pPr>
              <w:spacing w:after="0" w:line="240" w:lineRule="auto"/>
              <w:jc w:val="right"/>
              <w:rPr>
                <w:rFonts w:ascii="Arial" w:eastAsia="Times New Roman" w:hAnsi="Arial" w:cs="Arial"/>
                <w:color w:val="000000"/>
                <w:sz w:val="20"/>
                <w:szCs w:val="20"/>
                <w:lang w:eastAsia="es-AR"/>
              </w:rPr>
            </w:pPr>
            <w:r w:rsidRPr="004860F2">
              <w:rPr>
                <w:rFonts w:ascii="Arial" w:eastAsia="Times New Roman" w:hAnsi="Arial" w:cs="Arial"/>
                <w:color w:val="000000"/>
                <w:sz w:val="20"/>
                <w:szCs w:val="20"/>
                <w:lang w:eastAsia="es-AR"/>
              </w:rPr>
              <w:t>0,39</w:t>
            </w:r>
          </w:p>
        </w:tc>
      </w:tr>
      <w:tr w:rsidR="00E50C17" w:rsidRPr="004860F2" w14:paraId="2344DA8B" w14:textId="77777777" w:rsidTr="007827DE">
        <w:trPr>
          <w:trHeight w:val="406"/>
          <w:jc w:val="center"/>
        </w:trPr>
        <w:tc>
          <w:tcPr>
            <w:tcW w:w="1516" w:type="dxa"/>
            <w:tcBorders>
              <w:top w:val="nil"/>
              <w:left w:val="single" w:sz="8" w:space="0" w:color="auto"/>
              <w:bottom w:val="single" w:sz="8" w:space="0" w:color="auto"/>
              <w:right w:val="single" w:sz="4" w:space="0" w:color="auto"/>
            </w:tcBorders>
            <w:shd w:val="clear" w:color="auto" w:fill="E7E6E6" w:themeFill="background2"/>
            <w:noWrap/>
            <w:vAlign w:val="bottom"/>
            <w:hideMark/>
          </w:tcPr>
          <w:p w14:paraId="2452ED59" w14:textId="6A35C973" w:rsidR="00E50C17" w:rsidRPr="004860F2" w:rsidRDefault="00E50C17" w:rsidP="00E50C17">
            <w:pPr>
              <w:spacing w:after="0" w:line="240" w:lineRule="auto"/>
              <w:rPr>
                <w:rFonts w:ascii="Arial" w:eastAsia="Times New Roman" w:hAnsi="Arial" w:cs="Arial"/>
                <w:b/>
                <w:bCs/>
                <w:color w:val="000000"/>
                <w:sz w:val="20"/>
                <w:szCs w:val="20"/>
                <w:lang w:eastAsia="es-AR"/>
              </w:rPr>
            </w:pPr>
            <w:r w:rsidRPr="004860F2">
              <w:rPr>
                <w:rFonts w:ascii="Arial" w:eastAsia="Times New Roman" w:hAnsi="Arial" w:cs="Arial"/>
                <w:b/>
                <w:bCs/>
                <w:color w:val="000000"/>
                <w:sz w:val="20"/>
                <w:szCs w:val="20"/>
                <w:lang w:eastAsia="es-AR"/>
              </w:rPr>
              <w:t xml:space="preserve">Total </w:t>
            </w:r>
            <w:proofErr w:type="spellStart"/>
            <w:r w:rsidRPr="004860F2">
              <w:rPr>
                <w:rFonts w:ascii="Arial" w:eastAsia="Times New Roman" w:hAnsi="Arial" w:cs="Arial"/>
                <w:b/>
                <w:bCs/>
                <w:color w:val="000000"/>
                <w:sz w:val="20"/>
                <w:szCs w:val="20"/>
                <w:lang w:eastAsia="es-AR"/>
              </w:rPr>
              <w:t>clas</w:t>
            </w:r>
            <w:r w:rsidR="007827DE">
              <w:rPr>
                <w:rFonts w:ascii="Arial" w:eastAsia="Times New Roman" w:hAnsi="Arial" w:cs="Arial"/>
                <w:b/>
                <w:bCs/>
                <w:color w:val="000000"/>
                <w:sz w:val="20"/>
                <w:szCs w:val="20"/>
                <w:lang w:eastAsia="es-AR"/>
              </w:rPr>
              <w:t>ific</w:t>
            </w:r>
            <w:proofErr w:type="spellEnd"/>
            <w:r w:rsidR="007827DE">
              <w:rPr>
                <w:rFonts w:ascii="Arial" w:eastAsia="Times New Roman" w:hAnsi="Arial" w:cs="Arial"/>
                <w:b/>
                <w:bCs/>
                <w:color w:val="000000"/>
                <w:sz w:val="20"/>
                <w:szCs w:val="20"/>
                <w:lang w:eastAsia="es-AR"/>
              </w:rPr>
              <w:t>. x</w:t>
            </w:r>
            <w:r w:rsidRPr="004860F2">
              <w:rPr>
                <w:rFonts w:ascii="Arial" w:eastAsia="Times New Roman" w:hAnsi="Arial" w:cs="Arial"/>
                <w:b/>
                <w:bCs/>
                <w:color w:val="000000"/>
                <w:sz w:val="20"/>
                <w:szCs w:val="20"/>
                <w:lang w:eastAsia="es-AR"/>
              </w:rPr>
              <w:t xml:space="preserve"> jurisd</w:t>
            </w:r>
            <w:r w:rsidR="00ED279B" w:rsidRPr="004860F2">
              <w:rPr>
                <w:rFonts w:ascii="Arial" w:eastAsia="Times New Roman" w:hAnsi="Arial" w:cs="Arial"/>
                <w:b/>
                <w:bCs/>
                <w:color w:val="000000"/>
                <w:sz w:val="20"/>
                <w:szCs w:val="20"/>
                <w:lang w:eastAsia="es-AR"/>
              </w:rPr>
              <w:t>icción</w:t>
            </w:r>
          </w:p>
        </w:tc>
        <w:tc>
          <w:tcPr>
            <w:tcW w:w="1854" w:type="dxa"/>
            <w:tcBorders>
              <w:top w:val="nil"/>
              <w:left w:val="nil"/>
              <w:bottom w:val="single" w:sz="8" w:space="0" w:color="auto"/>
              <w:right w:val="single" w:sz="4" w:space="0" w:color="auto"/>
            </w:tcBorders>
            <w:shd w:val="clear" w:color="auto" w:fill="auto"/>
            <w:noWrap/>
            <w:vAlign w:val="bottom"/>
            <w:hideMark/>
          </w:tcPr>
          <w:p w14:paraId="1C683FE2" w14:textId="77777777" w:rsidR="00E50C17" w:rsidRPr="004860F2" w:rsidRDefault="00E50C17" w:rsidP="00ED279B">
            <w:pPr>
              <w:spacing w:after="120" w:line="240" w:lineRule="auto"/>
              <w:jc w:val="right"/>
              <w:rPr>
                <w:rFonts w:ascii="Arial" w:eastAsia="Times New Roman" w:hAnsi="Arial" w:cs="Arial"/>
                <w:b/>
                <w:bCs/>
                <w:color w:val="000000"/>
                <w:sz w:val="20"/>
                <w:szCs w:val="20"/>
                <w:lang w:eastAsia="es-AR"/>
              </w:rPr>
            </w:pPr>
            <w:r w:rsidRPr="004860F2">
              <w:rPr>
                <w:rFonts w:ascii="Arial" w:eastAsia="Times New Roman" w:hAnsi="Arial" w:cs="Arial"/>
                <w:b/>
                <w:bCs/>
                <w:color w:val="000000"/>
                <w:sz w:val="20"/>
                <w:szCs w:val="20"/>
                <w:lang w:eastAsia="es-AR"/>
              </w:rPr>
              <w:t>2.312.665.706.372</w:t>
            </w:r>
          </w:p>
        </w:tc>
        <w:tc>
          <w:tcPr>
            <w:tcW w:w="1865" w:type="dxa"/>
            <w:tcBorders>
              <w:top w:val="nil"/>
              <w:left w:val="nil"/>
              <w:bottom w:val="single" w:sz="8" w:space="0" w:color="auto"/>
              <w:right w:val="single" w:sz="4" w:space="0" w:color="auto"/>
            </w:tcBorders>
            <w:shd w:val="clear" w:color="auto" w:fill="auto"/>
            <w:noWrap/>
            <w:vAlign w:val="bottom"/>
            <w:hideMark/>
          </w:tcPr>
          <w:p w14:paraId="66677EB1" w14:textId="77777777" w:rsidR="00E50C17" w:rsidRPr="004860F2" w:rsidRDefault="00E50C17" w:rsidP="00ED279B">
            <w:pPr>
              <w:spacing w:after="120" w:line="240" w:lineRule="auto"/>
              <w:jc w:val="right"/>
              <w:rPr>
                <w:rFonts w:ascii="Arial" w:eastAsia="Times New Roman" w:hAnsi="Arial" w:cs="Arial"/>
                <w:b/>
                <w:bCs/>
                <w:color w:val="000000"/>
                <w:sz w:val="20"/>
                <w:szCs w:val="20"/>
                <w:lang w:eastAsia="es-AR"/>
              </w:rPr>
            </w:pPr>
            <w:r w:rsidRPr="004860F2">
              <w:rPr>
                <w:rFonts w:ascii="Arial" w:eastAsia="Times New Roman" w:hAnsi="Arial" w:cs="Arial"/>
                <w:b/>
                <w:bCs/>
                <w:color w:val="000000"/>
                <w:sz w:val="20"/>
                <w:szCs w:val="20"/>
                <w:lang w:eastAsia="es-AR"/>
              </w:rPr>
              <w:t>3.159.869.890.360</w:t>
            </w:r>
          </w:p>
        </w:tc>
        <w:tc>
          <w:tcPr>
            <w:tcW w:w="1857" w:type="dxa"/>
            <w:tcBorders>
              <w:top w:val="nil"/>
              <w:left w:val="nil"/>
              <w:bottom w:val="single" w:sz="8" w:space="0" w:color="auto"/>
              <w:right w:val="single" w:sz="4" w:space="0" w:color="auto"/>
            </w:tcBorders>
            <w:shd w:val="clear" w:color="auto" w:fill="auto"/>
            <w:noWrap/>
            <w:vAlign w:val="bottom"/>
            <w:hideMark/>
          </w:tcPr>
          <w:p w14:paraId="2B7431FB" w14:textId="77777777" w:rsidR="00E50C17" w:rsidRPr="004860F2" w:rsidRDefault="00E50C17" w:rsidP="00ED279B">
            <w:pPr>
              <w:spacing w:after="120" w:line="240" w:lineRule="auto"/>
              <w:jc w:val="right"/>
              <w:rPr>
                <w:rFonts w:ascii="Arial" w:eastAsia="Times New Roman" w:hAnsi="Arial" w:cs="Arial"/>
                <w:b/>
                <w:bCs/>
                <w:color w:val="000000"/>
                <w:sz w:val="20"/>
                <w:szCs w:val="20"/>
                <w:lang w:eastAsia="es-AR"/>
              </w:rPr>
            </w:pPr>
            <w:r w:rsidRPr="004860F2">
              <w:rPr>
                <w:rFonts w:ascii="Arial" w:eastAsia="Times New Roman" w:hAnsi="Arial" w:cs="Arial"/>
                <w:b/>
                <w:bCs/>
                <w:color w:val="000000"/>
                <w:sz w:val="20"/>
                <w:szCs w:val="20"/>
                <w:lang w:eastAsia="es-AR"/>
              </w:rPr>
              <w:t>4.455.516.968.768</w:t>
            </w:r>
          </w:p>
        </w:tc>
        <w:tc>
          <w:tcPr>
            <w:tcW w:w="748" w:type="dxa"/>
            <w:tcBorders>
              <w:top w:val="nil"/>
              <w:left w:val="nil"/>
              <w:bottom w:val="single" w:sz="8" w:space="0" w:color="auto"/>
              <w:right w:val="single" w:sz="4" w:space="0" w:color="auto"/>
            </w:tcBorders>
            <w:shd w:val="clear" w:color="auto" w:fill="auto"/>
            <w:noWrap/>
            <w:vAlign w:val="bottom"/>
            <w:hideMark/>
          </w:tcPr>
          <w:p w14:paraId="23AE3052" w14:textId="4CDCCF77" w:rsidR="00E50C17" w:rsidRPr="004860F2" w:rsidRDefault="00E50C17" w:rsidP="00ED279B">
            <w:pPr>
              <w:spacing w:after="120" w:line="240" w:lineRule="auto"/>
              <w:jc w:val="right"/>
              <w:rPr>
                <w:rFonts w:ascii="Arial" w:eastAsia="Times New Roman" w:hAnsi="Arial" w:cs="Arial"/>
                <w:b/>
                <w:bCs/>
                <w:color w:val="000000"/>
                <w:sz w:val="20"/>
                <w:szCs w:val="20"/>
                <w:lang w:eastAsia="es-AR"/>
              </w:rPr>
            </w:pPr>
            <w:r w:rsidRPr="004860F2">
              <w:rPr>
                <w:rFonts w:ascii="Arial" w:eastAsia="Times New Roman" w:hAnsi="Arial" w:cs="Arial"/>
                <w:b/>
                <w:bCs/>
                <w:color w:val="000000"/>
                <w:sz w:val="20"/>
                <w:szCs w:val="20"/>
                <w:lang w:eastAsia="es-AR"/>
              </w:rPr>
              <w:t>10</w:t>
            </w:r>
            <w:r w:rsidR="007827DE">
              <w:rPr>
                <w:rFonts w:ascii="Arial" w:eastAsia="Times New Roman" w:hAnsi="Arial" w:cs="Arial"/>
                <w:b/>
                <w:bCs/>
                <w:color w:val="000000"/>
                <w:sz w:val="20"/>
                <w:szCs w:val="20"/>
                <w:lang w:eastAsia="es-AR"/>
              </w:rPr>
              <w:t>0</w:t>
            </w:r>
          </w:p>
        </w:tc>
        <w:tc>
          <w:tcPr>
            <w:tcW w:w="748" w:type="dxa"/>
            <w:tcBorders>
              <w:top w:val="nil"/>
              <w:left w:val="nil"/>
              <w:bottom w:val="single" w:sz="8" w:space="0" w:color="auto"/>
              <w:right w:val="single" w:sz="4" w:space="0" w:color="auto"/>
            </w:tcBorders>
            <w:shd w:val="clear" w:color="auto" w:fill="auto"/>
            <w:noWrap/>
            <w:vAlign w:val="bottom"/>
            <w:hideMark/>
          </w:tcPr>
          <w:p w14:paraId="6C806DDD" w14:textId="24447410" w:rsidR="00E50C17" w:rsidRPr="004860F2" w:rsidRDefault="00E50C17" w:rsidP="00ED279B">
            <w:pPr>
              <w:spacing w:after="120" w:line="240" w:lineRule="auto"/>
              <w:jc w:val="right"/>
              <w:rPr>
                <w:rFonts w:ascii="Arial" w:eastAsia="Times New Roman" w:hAnsi="Arial" w:cs="Arial"/>
                <w:b/>
                <w:bCs/>
                <w:color w:val="000000"/>
                <w:sz w:val="20"/>
                <w:szCs w:val="20"/>
                <w:lang w:eastAsia="es-AR"/>
              </w:rPr>
            </w:pPr>
            <w:r w:rsidRPr="004860F2">
              <w:rPr>
                <w:rFonts w:ascii="Arial" w:eastAsia="Times New Roman" w:hAnsi="Arial" w:cs="Arial"/>
                <w:b/>
                <w:bCs/>
                <w:color w:val="000000"/>
                <w:sz w:val="20"/>
                <w:szCs w:val="20"/>
                <w:lang w:eastAsia="es-AR"/>
              </w:rPr>
              <w:t>100</w:t>
            </w:r>
          </w:p>
        </w:tc>
        <w:tc>
          <w:tcPr>
            <w:tcW w:w="748" w:type="dxa"/>
            <w:tcBorders>
              <w:top w:val="nil"/>
              <w:left w:val="nil"/>
              <w:bottom w:val="single" w:sz="8" w:space="0" w:color="auto"/>
              <w:right w:val="single" w:sz="8" w:space="0" w:color="auto"/>
            </w:tcBorders>
            <w:shd w:val="clear" w:color="auto" w:fill="auto"/>
            <w:noWrap/>
            <w:vAlign w:val="bottom"/>
            <w:hideMark/>
          </w:tcPr>
          <w:p w14:paraId="16039A58" w14:textId="5C3BFA51" w:rsidR="00E50C17" w:rsidRPr="004860F2" w:rsidRDefault="00E50C17" w:rsidP="00ED279B">
            <w:pPr>
              <w:spacing w:after="120" w:line="240" w:lineRule="auto"/>
              <w:jc w:val="right"/>
              <w:rPr>
                <w:rFonts w:ascii="Arial" w:eastAsia="Times New Roman" w:hAnsi="Arial" w:cs="Arial"/>
                <w:b/>
                <w:bCs/>
                <w:color w:val="000000"/>
                <w:sz w:val="20"/>
                <w:szCs w:val="20"/>
                <w:lang w:eastAsia="es-AR"/>
              </w:rPr>
            </w:pPr>
            <w:r w:rsidRPr="004860F2">
              <w:rPr>
                <w:rFonts w:ascii="Arial" w:eastAsia="Times New Roman" w:hAnsi="Arial" w:cs="Arial"/>
                <w:b/>
                <w:bCs/>
                <w:color w:val="000000"/>
                <w:sz w:val="20"/>
                <w:szCs w:val="20"/>
                <w:lang w:eastAsia="es-AR"/>
              </w:rPr>
              <w:t>100</w:t>
            </w:r>
          </w:p>
        </w:tc>
      </w:tr>
    </w:tbl>
    <w:p w14:paraId="104DF4A0" w14:textId="58B8C101" w:rsidR="00862378" w:rsidRPr="007827DE" w:rsidRDefault="00862378" w:rsidP="007512EE">
      <w:pPr>
        <w:spacing w:after="0" w:line="240" w:lineRule="auto"/>
        <w:jc w:val="center"/>
        <w:rPr>
          <w:rFonts w:ascii="Arial" w:hAnsi="Arial" w:cs="Arial"/>
          <w:sz w:val="18"/>
          <w:szCs w:val="18"/>
        </w:rPr>
      </w:pPr>
      <w:r w:rsidRPr="007827DE">
        <w:rPr>
          <w:rFonts w:ascii="Arial" w:hAnsi="Arial" w:cs="Arial"/>
          <w:sz w:val="18"/>
          <w:szCs w:val="18"/>
        </w:rPr>
        <w:t>Fuente (Cuadros 3 y 4): Ministerio de Economía de la Nación. Secretaría de Hacienda. Planillas anexas a los proyectos de Ley de Presupuesto de 2019 y 2020.</w:t>
      </w:r>
    </w:p>
    <w:p w14:paraId="6B7E8944" w14:textId="089645B4" w:rsidR="007512EE" w:rsidRPr="007827DE" w:rsidRDefault="007512EE" w:rsidP="002639A0">
      <w:pPr>
        <w:pStyle w:val="Prrafodelista"/>
        <w:spacing w:before="120" w:after="120"/>
        <w:jc w:val="both"/>
        <w:rPr>
          <w:rFonts w:ascii="Arial" w:hAnsi="Arial" w:cs="Arial"/>
          <w:b/>
          <w:bCs/>
          <w:sz w:val="18"/>
          <w:szCs w:val="18"/>
        </w:rPr>
      </w:pPr>
    </w:p>
    <w:p w14:paraId="7DDC28FD" w14:textId="428460B3" w:rsidR="00CA05AC" w:rsidRPr="007148A6" w:rsidRDefault="00C355C9" w:rsidP="00C355C9">
      <w:pPr>
        <w:pStyle w:val="Prrafodelista"/>
        <w:numPr>
          <w:ilvl w:val="0"/>
          <w:numId w:val="1"/>
        </w:numPr>
        <w:spacing w:before="120" w:after="120"/>
        <w:jc w:val="both"/>
        <w:rPr>
          <w:rFonts w:ascii="Arial" w:hAnsi="Arial" w:cs="Arial"/>
          <w:b/>
          <w:bCs/>
        </w:rPr>
      </w:pPr>
      <w:r w:rsidRPr="007148A6">
        <w:rPr>
          <w:rFonts w:ascii="Arial" w:hAnsi="Arial" w:cs="Arial"/>
          <w:b/>
          <w:bCs/>
        </w:rPr>
        <w:lastRenderedPageBreak/>
        <w:t>Las normas de responsabilidad fiscal</w:t>
      </w:r>
    </w:p>
    <w:p w14:paraId="3172E28D" w14:textId="77777777" w:rsidR="00EE072E" w:rsidRPr="007148A6" w:rsidRDefault="00EE072E" w:rsidP="00EE072E">
      <w:pPr>
        <w:spacing w:before="120" w:after="120"/>
        <w:jc w:val="both"/>
        <w:rPr>
          <w:rFonts w:ascii="Arial" w:hAnsi="Arial" w:cs="Arial"/>
        </w:rPr>
      </w:pPr>
      <w:r w:rsidRPr="007148A6">
        <w:rPr>
          <w:rFonts w:ascii="Arial" w:hAnsi="Arial" w:cs="Arial"/>
        </w:rPr>
        <w:t>Otro aporte de los autores es su propuesta de introducir como indicadores objetivos para la distribución incentivos de responsabilidad fiscal. Esto está explicado en los trabajos anteriores y en éste se toma en cuenta lo propuesto en el último trabajo precedente.</w:t>
      </w:r>
      <w:r w:rsidRPr="007148A6">
        <w:rPr>
          <w:rStyle w:val="Refdenotaalpie"/>
          <w:rFonts w:ascii="Arial" w:hAnsi="Arial" w:cs="Arial"/>
        </w:rPr>
        <w:footnoteReference w:id="18"/>
      </w:r>
    </w:p>
    <w:p w14:paraId="46ED6A38" w14:textId="16E4864F" w:rsidR="00F078A0" w:rsidRPr="007148A6" w:rsidRDefault="00EE072E" w:rsidP="00EE072E">
      <w:pPr>
        <w:spacing w:before="120" w:after="120"/>
        <w:jc w:val="both"/>
        <w:rPr>
          <w:rFonts w:ascii="Arial" w:hAnsi="Arial" w:cs="Arial"/>
        </w:rPr>
      </w:pPr>
      <w:r w:rsidRPr="007148A6">
        <w:rPr>
          <w:rFonts w:ascii="Arial" w:hAnsi="Arial" w:cs="Arial"/>
        </w:rPr>
        <w:t>Estos indicadores de responsabilidad fiscal serían: la razón de ingresos corrientes a gastos corrientes, para representar el esfuerzo por lograr solvencia fiscal,</w:t>
      </w:r>
      <w:r w:rsidR="009639EB" w:rsidRPr="007148A6">
        <w:rPr>
          <w:rFonts w:ascii="Arial" w:hAnsi="Arial" w:cs="Arial"/>
        </w:rPr>
        <w:t xml:space="preserve"> la inversa de</w:t>
      </w:r>
      <w:r w:rsidRPr="007148A6">
        <w:rPr>
          <w:rFonts w:ascii="Arial" w:hAnsi="Arial" w:cs="Arial"/>
        </w:rPr>
        <w:t xml:space="preserve"> la razón de gasto en personal a gasto primario, para premiar el comportamiento anticlientelar</w:t>
      </w:r>
      <w:r w:rsidR="00AA423D" w:rsidRPr="007148A6">
        <w:rPr>
          <w:rFonts w:ascii="Arial" w:hAnsi="Arial" w:cs="Arial"/>
        </w:rPr>
        <w:t xml:space="preserve"> y un indicador que cuantifica el esfuerzo fiscal para incentivar el esfuerzo de autofinanciamiento. Este indicador se define </w:t>
      </w:r>
      <w:r w:rsidR="00F078A0" w:rsidRPr="007148A6">
        <w:rPr>
          <w:rFonts w:ascii="Arial" w:hAnsi="Arial" w:cs="Arial"/>
        </w:rPr>
        <w:t xml:space="preserve">como la tasa impositiva correspondiente al impuesto sobre los ingresos brutos de cada provincia (implícita) aplicada a la base impositiva promedio, en este caso el PBG promedio, estandarizada por el promedio de ingresos de las provincias y se expresa </w:t>
      </w:r>
      <w:r w:rsidR="00AA423D" w:rsidRPr="007148A6">
        <w:rPr>
          <w:rFonts w:ascii="Arial" w:hAnsi="Arial" w:cs="Arial"/>
        </w:rPr>
        <w:t>según la siguiente fórmula</w:t>
      </w:r>
      <w:r w:rsidR="00F078A0" w:rsidRPr="007148A6">
        <w:rPr>
          <w:rStyle w:val="Refdenotaalpie"/>
          <w:rFonts w:ascii="Arial" w:hAnsi="Arial" w:cs="Arial"/>
        </w:rPr>
        <w:footnoteReference w:id="19"/>
      </w:r>
      <w:r w:rsidR="00F078A0" w:rsidRPr="007148A6">
        <w:rPr>
          <w:rFonts w:ascii="Arial" w:hAnsi="Arial" w:cs="Arial"/>
        </w:rPr>
        <w:t>:</w:t>
      </w:r>
    </w:p>
    <w:p w14:paraId="25FA44A3" w14:textId="47A97004" w:rsidR="00F078A0" w:rsidRPr="007148A6" w:rsidRDefault="00F078A0" w:rsidP="00F078A0">
      <w:pPr>
        <w:spacing w:before="120" w:after="120"/>
        <w:jc w:val="center"/>
        <w:rPr>
          <w:rFonts w:ascii="Arial" w:hAnsi="Arial" w:cs="Arial"/>
        </w:rPr>
      </w:pPr>
      <w:r w:rsidRPr="007148A6">
        <w:rPr>
          <w:rFonts w:ascii="Arial" w:hAnsi="Arial" w:cs="Arial"/>
          <w:noProof/>
          <w:lang w:eastAsia="es-AR"/>
        </w:rPr>
        <w:drawing>
          <wp:inline distT="0" distB="0" distL="0" distR="0" wp14:anchorId="268516C7" wp14:editId="789B50A0">
            <wp:extent cx="1971675" cy="3714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1675" cy="371475"/>
                    </a:xfrm>
                    <a:prstGeom prst="rect">
                      <a:avLst/>
                    </a:prstGeom>
                    <a:noFill/>
                  </pic:spPr>
                </pic:pic>
              </a:graphicData>
            </a:graphic>
          </wp:inline>
        </w:drawing>
      </w:r>
    </w:p>
    <w:p w14:paraId="1F69FBBD" w14:textId="409604C2" w:rsidR="00EE072E" w:rsidRPr="007148A6" w:rsidRDefault="00EE072E" w:rsidP="00EE072E">
      <w:pPr>
        <w:spacing w:before="120" w:after="120"/>
        <w:jc w:val="both"/>
        <w:rPr>
          <w:rFonts w:ascii="Arial" w:hAnsi="Arial" w:cs="Arial"/>
        </w:rPr>
      </w:pPr>
      <w:r w:rsidRPr="007148A6">
        <w:rPr>
          <w:rFonts w:ascii="Arial" w:hAnsi="Arial" w:cs="Arial"/>
        </w:rPr>
        <w:t>Como se mencionó en el trabajo anterior, el uso de incentivos de esta naturaleza tiene como antecedente una ley coparticipación municipal de la provincia de Mendoza.</w:t>
      </w:r>
      <w:r w:rsidRPr="007148A6">
        <w:rPr>
          <w:rStyle w:val="Refdenotaalpie"/>
          <w:rFonts w:ascii="Arial" w:hAnsi="Arial" w:cs="Arial"/>
        </w:rPr>
        <w:footnoteReference w:id="20"/>
      </w:r>
    </w:p>
    <w:p w14:paraId="56414F28" w14:textId="22A33706" w:rsidR="001E561E" w:rsidRPr="007148A6" w:rsidRDefault="00B63623" w:rsidP="00EE072E">
      <w:pPr>
        <w:spacing w:before="120" w:after="120"/>
        <w:jc w:val="both"/>
        <w:rPr>
          <w:rFonts w:ascii="Arial" w:hAnsi="Arial" w:cs="Arial"/>
        </w:rPr>
      </w:pPr>
      <w:r w:rsidRPr="007148A6">
        <w:rPr>
          <w:rFonts w:ascii="Arial" w:hAnsi="Arial" w:cs="Arial"/>
        </w:rPr>
        <w:t>En el cuadro 5 se presenta el cálculo del esfuerzo fiscal para las provincias y la CABA para un número seleccionado de años. En él se puede apreciar la evolución de este índice</w:t>
      </w:r>
      <w:r w:rsidR="001E561E" w:rsidRPr="007148A6">
        <w:rPr>
          <w:rFonts w:ascii="Arial" w:hAnsi="Arial" w:cs="Arial"/>
        </w:rPr>
        <w:t>.</w:t>
      </w:r>
    </w:p>
    <w:p w14:paraId="2869035E" w14:textId="0DFB039E" w:rsidR="002B4347" w:rsidRPr="007148A6" w:rsidRDefault="002B4347" w:rsidP="002B4347">
      <w:pPr>
        <w:spacing w:before="120" w:after="120"/>
        <w:jc w:val="both"/>
        <w:rPr>
          <w:rFonts w:ascii="Arial" w:hAnsi="Arial" w:cs="Arial"/>
        </w:rPr>
      </w:pPr>
      <w:r w:rsidRPr="007148A6">
        <w:rPr>
          <w:rFonts w:ascii="Arial" w:hAnsi="Arial" w:cs="Arial"/>
        </w:rPr>
        <w:t>Los indicadores aquí sugeridos podrían acentuar el logro del propósito que guio el dictado de la Ley Federal de Responsabilidad Fiscal (25.917, sancionada en 2004 y luego reformada por la ley 27.428 de 2018</w:t>
      </w:r>
      <w:r w:rsidRPr="007148A6">
        <w:rPr>
          <w:rStyle w:val="Refdenotaalpie"/>
          <w:rFonts w:ascii="Arial" w:hAnsi="Arial" w:cs="Arial"/>
        </w:rPr>
        <w:footnoteReference w:id="21"/>
      </w:r>
      <w:r w:rsidRPr="007148A6">
        <w:rPr>
          <w:rFonts w:ascii="Arial" w:hAnsi="Arial" w:cs="Arial"/>
        </w:rPr>
        <w:t>). El propósito de estos indicadores es el mismo que el de las normas establecidas por esa ley convenio, aunque en ella no se hace mención expresa del régimen de coparticipación federal. Es más, se podría decir que las variables tenidas en cuenta al definir los indicadores utilizados van de la mano con variables críticas identificadas en la ley, o son acorde a los distintos objetivos propuestos en su articulado. Por ejemplo, en la ley se propone el presupuesto equilibrado o superavitario e identificando como un destino no viable de los bienes de capital el uso en gasto corriente. Por lo tanto, el primero de los indicadores propuestos estaría avalado por esta ley.</w:t>
      </w:r>
      <w:r w:rsidR="002801F5" w:rsidRPr="007148A6">
        <w:rPr>
          <w:rFonts w:ascii="Arial" w:hAnsi="Arial" w:cs="Arial"/>
        </w:rPr>
        <w:t xml:space="preserve"> </w:t>
      </w:r>
      <w:r w:rsidRPr="007148A6">
        <w:rPr>
          <w:rFonts w:ascii="Arial" w:hAnsi="Arial" w:cs="Arial"/>
        </w:rPr>
        <w:t>Todos los indicadores propuestos han sido diseñados para que sean coeficientes de distribución.</w:t>
      </w:r>
    </w:p>
    <w:p w14:paraId="5FB3045D" w14:textId="77777777" w:rsidR="002B4347" w:rsidRPr="007148A6" w:rsidRDefault="002B4347" w:rsidP="002B4347">
      <w:pPr>
        <w:spacing w:before="120" w:after="120"/>
        <w:jc w:val="both"/>
        <w:rPr>
          <w:rFonts w:ascii="Arial" w:hAnsi="Arial" w:cs="Arial"/>
        </w:rPr>
      </w:pPr>
      <w:r w:rsidRPr="007148A6">
        <w:rPr>
          <w:rFonts w:ascii="Arial" w:hAnsi="Arial" w:cs="Arial"/>
        </w:rPr>
        <w:t xml:space="preserve">La ley de responsabilidad fiscal impone reglas en cuanto al crecimiento del gasto público, su relación con el incremento del PBI o PBG, el déficit y superávit presupuestario, el gasto en personal (su incremento), el número de empleados públicos, el endeudamiento y la </w:t>
      </w:r>
      <w:r w:rsidRPr="007148A6">
        <w:rPr>
          <w:rFonts w:ascii="Arial" w:hAnsi="Arial" w:cs="Arial"/>
        </w:rPr>
        <w:lastRenderedPageBreak/>
        <w:t>administración de la deuda, el destino de los ingresos por la venta de bienes de capital, la información sobre el gasto tributario, cláusulas de fin de mandato, etc.</w:t>
      </w:r>
    </w:p>
    <w:p w14:paraId="39B05859" w14:textId="77777777" w:rsidR="002B4347" w:rsidRPr="007148A6" w:rsidRDefault="002B4347" w:rsidP="002B4347">
      <w:pPr>
        <w:jc w:val="both"/>
        <w:rPr>
          <w:rFonts w:ascii="Arial" w:hAnsi="Arial" w:cs="Arial"/>
          <w:lang w:val="es-419"/>
        </w:rPr>
      </w:pPr>
      <w:r w:rsidRPr="007148A6">
        <w:rPr>
          <w:rFonts w:ascii="Arial" w:hAnsi="Arial" w:cs="Arial"/>
        </w:rPr>
        <w:t>Es por ello por lo que es interesante citar algunas disposiciones de esta ley. E</w:t>
      </w:r>
      <w:r w:rsidRPr="007148A6">
        <w:rPr>
          <w:rFonts w:ascii="Arial" w:hAnsi="Arial" w:cs="Arial"/>
          <w:lang w:val="es-419"/>
        </w:rPr>
        <w:t>l artículo 8 propone el cálculo de “parámetros e indicadores homogéneos de gestión pública que midan la eficiencia y eficacia en materia de recaudación y la eficiencia en materia de gasto público”. Este artículo, y el interés que se refleja en la eficiencia en la recaudación, da lugar a trabajar con indicadores de esfuerzo fiscal, resaltando, dada la capacidad fiscal de cada participante, el interés o voluntad de recaudar recursos tributarios propios.</w:t>
      </w:r>
    </w:p>
    <w:p w14:paraId="03886FF2" w14:textId="0BBCF131" w:rsidR="002B4347" w:rsidRDefault="002B4347" w:rsidP="007827DE">
      <w:pPr>
        <w:spacing w:after="0"/>
        <w:jc w:val="both"/>
        <w:rPr>
          <w:rFonts w:ascii="Arial" w:hAnsi="Arial" w:cs="Arial"/>
          <w:lang w:val="es-419"/>
        </w:rPr>
      </w:pPr>
      <w:r w:rsidRPr="007148A6">
        <w:rPr>
          <w:rFonts w:ascii="Arial" w:hAnsi="Arial" w:cs="Arial"/>
          <w:lang w:val="es-419"/>
        </w:rPr>
        <w:t xml:space="preserve">El artículo 10 </w:t>
      </w:r>
      <w:r w:rsidRPr="007148A6">
        <w:rPr>
          <w:rFonts w:ascii="Arial" w:hAnsi="Arial" w:cs="Arial"/>
          <w:i/>
          <w:iCs/>
          <w:lang w:val="es-419"/>
        </w:rPr>
        <w:t>quáte</w:t>
      </w:r>
      <w:r w:rsidRPr="007148A6">
        <w:rPr>
          <w:rFonts w:ascii="Arial" w:hAnsi="Arial" w:cs="Arial"/>
          <w:lang w:val="es-419"/>
        </w:rPr>
        <w:t>r, expone que “el Gobierno Nacional, los Gobiernos Provinciales y de la Ciudad Autónoma de Buenos Aires se comprometen a no incrementar la relación de cargos ocupados en el Sector Público (en planta permanente, temporaria y contratada) existente al 31 de diciembre de 2017, respecto a la población proyectada por el INDEC para cada jurisdicción”. Este artículo resalta la importancia del gasto en personal cuando se plantea la temática de responsabilidad fiscal. Si bien toma de referencia el ratio de personal respecto de la población estimada, es válido pensar que también es importante tener presente el peso de este personal en las arcas de cada jurisdicción, a efectos de evitar que se difieran fondos de la prestación de servicios al gasto en personal, aunque el crecimiento de este acompañe al crecimiento poblacional estimado.</w:t>
      </w:r>
    </w:p>
    <w:p w14:paraId="3125D9BA" w14:textId="77777777" w:rsidR="007827DE" w:rsidRPr="007148A6" w:rsidRDefault="007827DE" w:rsidP="007827DE">
      <w:pPr>
        <w:spacing w:before="120" w:after="0"/>
        <w:jc w:val="both"/>
        <w:rPr>
          <w:rFonts w:ascii="Arial" w:hAnsi="Arial" w:cs="Arial"/>
          <w:lang w:val="es-419"/>
        </w:rPr>
      </w:pPr>
      <w:r w:rsidRPr="007148A6">
        <w:rPr>
          <w:rFonts w:ascii="Arial" w:hAnsi="Arial" w:cs="Arial"/>
          <w:lang w:val="es-419"/>
        </w:rPr>
        <w:t>Por otra parte, también es necesario resaltar la mención en el artículo 18 bis de que se “acordarán la adopción de políticas tributarias, tendientes a armonizar y no aumentar la presión impositiva legal (…)”, que hace hincapié en la necesidad de armonizar la imposición. Esta disposición va de la mano con la propuesta de Piffano, en su trabajo antes citado, de armonizar los impuestos, especialmente en el caso de fuentes concurrentes de Nación y provincias.</w:t>
      </w:r>
    </w:p>
    <w:p w14:paraId="141E906F" w14:textId="195C190F" w:rsidR="007827DE" w:rsidRDefault="007827DE" w:rsidP="007827DE">
      <w:pPr>
        <w:spacing w:before="120" w:after="120"/>
        <w:jc w:val="both"/>
        <w:rPr>
          <w:rFonts w:ascii="Arial" w:hAnsi="Arial" w:cs="Arial"/>
        </w:rPr>
      </w:pPr>
      <w:r w:rsidRPr="007148A6">
        <w:rPr>
          <w:rFonts w:ascii="Arial" w:hAnsi="Arial" w:cs="Arial"/>
        </w:rPr>
        <w:t xml:space="preserve">No se discute aquí sobre el acuerdo entre el gobierno y las provincias establecido por esa ley, aunque se estima que el tema está estrechamente relacionado con el de distribución de recursos tributarios. Posiblemente ambos regímenes, el de coparticipación federal de impuestos y el de responsabilidad fiscal deberían estar contenidos en una misma norma legal y el órgano que establece la Constitución Nacional en el último párrafo el inciso 2 de su artículo 75, el organismo fiscal federal, debería tener el control y fiscalización del cumplimiento de los dos regímenes, cubriendo las funciones de los actuales, la Comisión Federal de Impuestos y el Consejo Federal de Responsabilidad Fiscal, pudiéndose lograr de esa forma una adecuada coordinación fiscal entre ambos niveles de gobierno. </w:t>
      </w:r>
    </w:p>
    <w:p w14:paraId="6D7D5363" w14:textId="77777777" w:rsidR="00497710" w:rsidRPr="007148A6" w:rsidRDefault="00497710" w:rsidP="00497710">
      <w:pPr>
        <w:autoSpaceDE w:val="0"/>
        <w:autoSpaceDN w:val="0"/>
        <w:adjustRightInd w:val="0"/>
        <w:spacing w:before="120" w:after="120"/>
        <w:jc w:val="both"/>
        <w:rPr>
          <w:rFonts w:ascii="Arial" w:hAnsi="Arial" w:cs="Arial"/>
        </w:rPr>
      </w:pPr>
      <w:r w:rsidRPr="007148A6">
        <w:rPr>
          <w:rFonts w:ascii="Arial" w:hAnsi="Arial" w:cs="Arial"/>
        </w:rPr>
        <w:t xml:space="preserve">En el trabajo ya comentado de Piffano se advierte un criterio análogo: precisamente, en el anexo de su artículo incluye un anteproyecto de ley de coparticipación federal que titula “Proyecto de ley fiscal y financiera federal. Sistema federal de concertación para la coordinación y armonización fiscal y financiera interjurisdiccional” y en el cual introduce temas de responsabilidad fiscal. </w:t>
      </w:r>
    </w:p>
    <w:p w14:paraId="7BF4E197" w14:textId="77777777" w:rsidR="00497710" w:rsidRPr="007148A6" w:rsidRDefault="00497710" w:rsidP="00497710">
      <w:pPr>
        <w:autoSpaceDE w:val="0"/>
        <w:autoSpaceDN w:val="0"/>
        <w:adjustRightInd w:val="0"/>
        <w:spacing w:before="120" w:after="120"/>
        <w:jc w:val="both"/>
        <w:rPr>
          <w:rFonts w:ascii="Arial" w:hAnsi="Arial" w:cs="Arial"/>
        </w:rPr>
      </w:pPr>
      <w:r w:rsidRPr="007148A6">
        <w:rPr>
          <w:rFonts w:ascii="Arial" w:hAnsi="Arial" w:cs="Arial"/>
        </w:rPr>
        <w:t>Es decir, la coordinación fiscal entre ambos niveles de gobierno no puede quedar limitado a una distribución de competencias tributarias y al reparto de las recaudaciones del nivel superior, sino que sería conveniente que fuera más allá y cubra todos los aspectos de la política fiscal.</w:t>
      </w:r>
    </w:p>
    <w:p w14:paraId="7C7F5BF5" w14:textId="77777777" w:rsidR="00497710" w:rsidRPr="007148A6" w:rsidRDefault="00497710" w:rsidP="00497710">
      <w:pPr>
        <w:spacing w:before="120" w:after="120"/>
        <w:jc w:val="both"/>
        <w:rPr>
          <w:rFonts w:ascii="Arial" w:hAnsi="Arial" w:cs="Arial"/>
        </w:rPr>
      </w:pPr>
      <w:r w:rsidRPr="007148A6">
        <w:rPr>
          <w:rFonts w:ascii="Arial" w:hAnsi="Arial" w:cs="Arial"/>
        </w:rPr>
        <w:t>Este tema queda para una discusión posterior. El objetivo del presente trabajo se limita a la coparticipación federal de impuestos y las competencias tributarias de los distintos niveles de gobierno.</w:t>
      </w:r>
    </w:p>
    <w:p w14:paraId="3BAC9FA2" w14:textId="4BB8D661" w:rsidR="001E561E" w:rsidRPr="007148A6" w:rsidRDefault="001E561E" w:rsidP="002B4347">
      <w:pPr>
        <w:spacing w:after="0" w:line="240" w:lineRule="auto"/>
        <w:jc w:val="center"/>
        <w:rPr>
          <w:rFonts w:ascii="Arial" w:hAnsi="Arial" w:cs="Arial"/>
          <w:b/>
          <w:bCs/>
        </w:rPr>
      </w:pPr>
      <w:r w:rsidRPr="007148A6">
        <w:rPr>
          <w:rFonts w:ascii="Arial" w:hAnsi="Arial" w:cs="Arial"/>
          <w:b/>
          <w:bCs/>
        </w:rPr>
        <w:lastRenderedPageBreak/>
        <w:t>Cuadro 5</w:t>
      </w:r>
    </w:p>
    <w:p w14:paraId="78E06B6A" w14:textId="51B41AE7" w:rsidR="001E561E" w:rsidRPr="007148A6" w:rsidRDefault="001E561E" w:rsidP="002B4347">
      <w:pPr>
        <w:spacing w:after="0" w:line="240" w:lineRule="auto"/>
        <w:jc w:val="center"/>
        <w:rPr>
          <w:rFonts w:ascii="Arial" w:hAnsi="Arial" w:cs="Arial"/>
          <w:b/>
          <w:bCs/>
        </w:rPr>
      </w:pPr>
      <w:r w:rsidRPr="007148A6">
        <w:rPr>
          <w:rFonts w:ascii="Arial" w:hAnsi="Arial" w:cs="Arial"/>
          <w:b/>
          <w:bCs/>
        </w:rPr>
        <w:t>Estimación de esfuerzo fiscal por jurisdicción</w:t>
      </w:r>
    </w:p>
    <w:tbl>
      <w:tblPr>
        <w:tblW w:w="9363" w:type="dxa"/>
        <w:jc w:val="center"/>
        <w:tblCellMar>
          <w:left w:w="70" w:type="dxa"/>
          <w:right w:w="70" w:type="dxa"/>
        </w:tblCellMar>
        <w:tblLook w:val="04A0" w:firstRow="1" w:lastRow="0" w:firstColumn="1" w:lastColumn="0" w:noHBand="0" w:noVBand="1"/>
      </w:tblPr>
      <w:tblGrid>
        <w:gridCol w:w="2553"/>
        <w:gridCol w:w="995"/>
        <w:gridCol w:w="993"/>
        <w:gridCol w:w="852"/>
        <w:gridCol w:w="852"/>
        <w:gridCol w:w="1135"/>
        <w:gridCol w:w="994"/>
        <w:gridCol w:w="989"/>
      </w:tblGrid>
      <w:tr w:rsidR="001E561E" w:rsidRPr="00497710" w14:paraId="1E253854" w14:textId="77777777" w:rsidTr="00497710">
        <w:trPr>
          <w:trHeight w:val="267"/>
          <w:jc w:val="center"/>
        </w:trPr>
        <w:tc>
          <w:tcPr>
            <w:tcW w:w="2553" w:type="dxa"/>
            <w:tcBorders>
              <w:top w:val="nil"/>
              <w:left w:val="nil"/>
              <w:bottom w:val="nil"/>
              <w:right w:val="nil"/>
            </w:tcBorders>
            <w:shd w:val="clear" w:color="000000" w:fill="FFFFFF"/>
            <w:noWrap/>
            <w:vAlign w:val="bottom"/>
            <w:hideMark/>
          </w:tcPr>
          <w:p w14:paraId="42CBD6B3" w14:textId="77777777" w:rsidR="001E561E" w:rsidRPr="00497710" w:rsidRDefault="001E561E" w:rsidP="005E08AA">
            <w:pPr>
              <w:spacing w:after="0" w:line="240" w:lineRule="auto"/>
              <w:jc w:val="center"/>
              <w:rPr>
                <w:rFonts w:ascii="Arial" w:eastAsia="Times New Roman" w:hAnsi="Arial" w:cs="Arial"/>
                <w:b/>
                <w:bCs/>
                <w:color w:val="000000"/>
                <w:sz w:val="20"/>
                <w:szCs w:val="20"/>
                <w:lang w:eastAsia="es-AR"/>
              </w:rPr>
            </w:pPr>
            <w:r w:rsidRPr="00497710">
              <w:rPr>
                <w:rFonts w:ascii="Arial" w:eastAsia="Times New Roman" w:hAnsi="Arial" w:cs="Arial"/>
                <w:b/>
                <w:bCs/>
                <w:color w:val="000000"/>
                <w:sz w:val="20"/>
                <w:szCs w:val="20"/>
                <w:lang w:eastAsia="es-AR"/>
              </w:rPr>
              <w:t>Jurisdicción</w:t>
            </w:r>
          </w:p>
        </w:tc>
        <w:tc>
          <w:tcPr>
            <w:tcW w:w="3692"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F859A3" w14:textId="77777777" w:rsidR="001E561E" w:rsidRPr="00497710" w:rsidRDefault="001E561E" w:rsidP="005E08AA">
            <w:pPr>
              <w:spacing w:after="0" w:line="240" w:lineRule="auto"/>
              <w:jc w:val="center"/>
              <w:rPr>
                <w:rFonts w:ascii="Arial" w:eastAsia="Times New Roman" w:hAnsi="Arial" w:cs="Arial"/>
                <w:b/>
                <w:bCs/>
                <w:color w:val="000000"/>
                <w:sz w:val="20"/>
                <w:szCs w:val="20"/>
                <w:lang w:eastAsia="es-AR"/>
              </w:rPr>
            </w:pPr>
            <w:r w:rsidRPr="00497710">
              <w:rPr>
                <w:rFonts w:ascii="Arial" w:eastAsia="Times New Roman" w:hAnsi="Arial" w:cs="Arial"/>
                <w:b/>
                <w:bCs/>
                <w:color w:val="000000"/>
                <w:sz w:val="20"/>
                <w:szCs w:val="20"/>
                <w:lang w:eastAsia="es-AR"/>
              </w:rPr>
              <w:t>Valor</w:t>
            </w:r>
          </w:p>
        </w:tc>
        <w:tc>
          <w:tcPr>
            <w:tcW w:w="3118"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2937610" w14:textId="77777777" w:rsidR="001E561E" w:rsidRPr="00497710" w:rsidRDefault="001E561E" w:rsidP="005E08AA">
            <w:pPr>
              <w:spacing w:after="0" w:line="240" w:lineRule="auto"/>
              <w:jc w:val="center"/>
              <w:rPr>
                <w:rFonts w:ascii="Arial" w:eastAsia="Times New Roman" w:hAnsi="Arial" w:cs="Arial"/>
                <w:b/>
                <w:bCs/>
                <w:color w:val="000000"/>
                <w:sz w:val="20"/>
                <w:szCs w:val="20"/>
                <w:lang w:eastAsia="es-AR"/>
              </w:rPr>
            </w:pPr>
            <w:r w:rsidRPr="00497710">
              <w:rPr>
                <w:rFonts w:ascii="Arial" w:eastAsia="Times New Roman" w:hAnsi="Arial" w:cs="Arial"/>
                <w:b/>
                <w:bCs/>
                <w:color w:val="000000"/>
                <w:sz w:val="20"/>
                <w:szCs w:val="20"/>
                <w:lang w:eastAsia="es-AR"/>
              </w:rPr>
              <w:t>Índice Base 100=1993</w:t>
            </w:r>
          </w:p>
        </w:tc>
      </w:tr>
      <w:tr w:rsidR="00497710" w:rsidRPr="00497710" w14:paraId="184B3644" w14:textId="77777777" w:rsidTr="00497710">
        <w:trPr>
          <w:trHeight w:val="267"/>
          <w:jc w:val="center"/>
        </w:trPr>
        <w:tc>
          <w:tcPr>
            <w:tcW w:w="2553" w:type="dxa"/>
            <w:tcBorders>
              <w:top w:val="nil"/>
              <w:left w:val="nil"/>
              <w:bottom w:val="nil"/>
              <w:right w:val="nil"/>
            </w:tcBorders>
            <w:shd w:val="clear" w:color="000000" w:fill="FFFFFF"/>
            <w:noWrap/>
            <w:vAlign w:val="bottom"/>
            <w:hideMark/>
          </w:tcPr>
          <w:p w14:paraId="14EEB361" w14:textId="77777777" w:rsidR="001E561E" w:rsidRPr="00497710" w:rsidRDefault="001E561E" w:rsidP="005E08AA">
            <w:pPr>
              <w:spacing w:after="0" w:line="240" w:lineRule="auto"/>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 </w:t>
            </w:r>
          </w:p>
        </w:tc>
        <w:tc>
          <w:tcPr>
            <w:tcW w:w="995" w:type="dxa"/>
            <w:tcBorders>
              <w:top w:val="nil"/>
              <w:left w:val="single" w:sz="4" w:space="0" w:color="auto"/>
              <w:bottom w:val="single" w:sz="4" w:space="0" w:color="auto"/>
              <w:right w:val="single" w:sz="4" w:space="0" w:color="auto"/>
            </w:tcBorders>
            <w:shd w:val="clear" w:color="000000" w:fill="FFFFFF"/>
            <w:noWrap/>
            <w:vAlign w:val="bottom"/>
            <w:hideMark/>
          </w:tcPr>
          <w:p w14:paraId="246440F2" w14:textId="77777777" w:rsidR="001E561E" w:rsidRPr="00497710" w:rsidRDefault="001E561E" w:rsidP="005E08AA">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1993</w:t>
            </w:r>
          </w:p>
        </w:tc>
        <w:tc>
          <w:tcPr>
            <w:tcW w:w="993" w:type="dxa"/>
            <w:tcBorders>
              <w:top w:val="nil"/>
              <w:left w:val="nil"/>
              <w:bottom w:val="single" w:sz="4" w:space="0" w:color="auto"/>
              <w:right w:val="single" w:sz="4" w:space="0" w:color="auto"/>
            </w:tcBorders>
            <w:shd w:val="clear" w:color="000000" w:fill="FFFFFF"/>
            <w:noWrap/>
            <w:vAlign w:val="bottom"/>
            <w:hideMark/>
          </w:tcPr>
          <w:p w14:paraId="351C39F0" w14:textId="77777777" w:rsidR="001E561E" w:rsidRPr="00497710" w:rsidRDefault="001E561E" w:rsidP="005E08AA">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2004</w:t>
            </w:r>
          </w:p>
        </w:tc>
        <w:tc>
          <w:tcPr>
            <w:tcW w:w="852" w:type="dxa"/>
            <w:tcBorders>
              <w:top w:val="nil"/>
              <w:left w:val="nil"/>
              <w:bottom w:val="single" w:sz="4" w:space="0" w:color="auto"/>
              <w:right w:val="single" w:sz="4" w:space="0" w:color="auto"/>
            </w:tcBorders>
            <w:shd w:val="clear" w:color="000000" w:fill="FFFFFF"/>
            <w:noWrap/>
            <w:vAlign w:val="bottom"/>
            <w:hideMark/>
          </w:tcPr>
          <w:p w14:paraId="16E7849B" w14:textId="77777777" w:rsidR="001E561E" w:rsidRPr="00497710" w:rsidRDefault="001E561E" w:rsidP="005E08AA">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2014</w:t>
            </w:r>
          </w:p>
        </w:tc>
        <w:tc>
          <w:tcPr>
            <w:tcW w:w="852" w:type="dxa"/>
            <w:tcBorders>
              <w:top w:val="nil"/>
              <w:left w:val="nil"/>
              <w:bottom w:val="single" w:sz="4" w:space="0" w:color="auto"/>
              <w:right w:val="single" w:sz="4" w:space="0" w:color="auto"/>
            </w:tcBorders>
            <w:shd w:val="clear" w:color="000000" w:fill="FFFFFF"/>
            <w:noWrap/>
            <w:vAlign w:val="bottom"/>
            <w:hideMark/>
          </w:tcPr>
          <w:p w14:paraId="4AD6EEAC" w14:textId="77777777" w:rsidR="001E561E" w:rsidRPr="00497710" w:rsidRDefault="001E561E" w:rsidP="005E08AA">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2019*</w:t>
            </w:r>
          </w:p>
        </w:tc>
        <w:tc>
          <w:tcPr>
            <w:tcW w:w="1135" w:type="dxa"/>
            <w:tcBorders>
              <w:top w:val="nil"/>
              <w:left w:val="nil"/>
              <w:bottom w:val="single" w:sz="4" w:space="0" w:color="auto"/>
              <w:right w:val="single" w:sz="4" w:space="0" w:color="auto"/>
            </w:tcBorders>
            <w:shd w:val="clear" w:color="000000" w:fill="FFFFFF"/>
            <w:noWrap/>
            <w:vAlign w:val="bottom"/>
            <w:hideMark/>
          </w:tcPr>
          <w:p w14:paraId="328F1773" w14:textId="77777777" w:rsidR="001E561E" w:rsidRPr="00497710" w:rsidRDefault="001E561E" w:rsidP="005E08AA">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2004</w:t>
            </w:r>
          </w:p>
        </w:tc>
        <w:tc>
          <w:tcPr>
            <w:tcW w:w="994" w:type="dxa"/>
            <w:tcBorders>
              <w:top w:val="nil"/>
              <w:left w:val="nil"/>
              <w:bottom w:val="single" w:sz="4" w:space="0" w:color="auto"/>
              <w:right w:val="single" w:sz="4" w:space="0" w:color="auto"/>
            </w:tcBorders>
            <w:shd w:val="clear" w:color="000000" w:fill="FFFFFF"/>
            <w:noWrap/>
            <w:vAlign w:val="bottom"/>
            <w:hideMark/>
          </w:tcPr>
          <w:p w14:paraId="36835DE3" w14:textId="77777777" w:rsidR="001E561E" w:rsidRPr="00497710" w:rsidRDefault="001E561E" w:rsidP="005E08AA">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2014</w:t>
            </w:r>
          </w:p>
        </w:tc>
        <w:tc>
          <w:tcPr>
            <w:tcW w:w="988" w:type="dxa"/>
            <w:tcBorders>
              <w:top w:val="nil"/>
              <w:left w:val="nil"/>
              <w:bottom w:val="single" w:sz="4" w:space="0" w:color="auto"/>
              <w:right w:val="single" w:sz="4" w:space="0" w:color="auto"/>
            </w:tcBorders>
            <w:shd w:val="clear" w:color="000000" w:fill="FFFFFF"/>
            <w:noWrap/>
            <w:vAlign w:val="bottom"/>
            <w:hideMark/>
          </w:tcPr>
          <w:p w14:paraId="68B58F66" w14:textId="77777777" w:rsidR="001E561E" w:rsidRPr="00497710" w:rsidRDefault="001E561E" w:rsidP="005E08AA">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2019*</w:t>
            </w:r>
          </w:p>
        </w:tc>
      </w:tr>
      <w:tr w:rsidR="00497710" w:rsidRPr="00497710" w14:paraId="3AB9074E" w14:textId="77777777" w:rsidTr="00497710">
        <w:trPr>
          <w:trHeight w:val="267"/>
          <w:jc w:val="center"/>
        </w:trPr>
        <w:tc>
          <w:tcPr>
            <w:tcW w:w="25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6D8BFF" w14:textId="77777777" w:rsidR="001E561E" w:rsidRPr="00497710" w:rsidRDefault="001E561E" w:rsidP="005E08AA">
            <w:pPr>
              <w:spacing w:after="0" w:line="240" w:lineRule="auto"/>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CABA</w:t>
            </w:r>
          </w:p>
        </w:tc>
        <w:tc>
          <w:tcPr>
            <w:tcW w:w="995" w:type="dxa"/>
            <w:tcBorders>
              <w:top w:val="nil"/>
              <w:left w:val="nil"/>
              <w:bottom w:val="single" w:sz="4" w:space="0" w:color="auto"/>
              <w:right w:val="single" w:sz="4" w:space="0" w:color="auto"/>
            </w:tcBorders>
            <w:shd w:val="clear" w:color="000000" w:fill="FFFFFF"/>
            <w:noWrap/>
            <w:vAlign w:val="bottom"/>
            <w:hideMark/>
          </w:tcPr>
          <w:p w14:paraId="3DA07F71"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1,68</w:t>
            </w:r>
          </w:p>
        </w:tc>
        <w:tc>
          <w:tcPr>
            <w:tcW w:w="993" w:type="dxa"/>
            <w:tcBorders>
              <w:top w:val="nil"/>
              <w:left w:val="nil"/>
              <w:bottom w:val="single" w:sz="4" w:space="0" w:color="auto"/>
              <w:right w:val="single" w:sz="4" w:space="0" w:color="auto"/>
            </w:tcBorders>
            <w:shd w:val="clear" w:color="000000" w:fill="FFFFFF"/>
            <w:noWrap/>
            <w:vAlign w:val="bottom"/>
            <w:hideMark/>
          </w:tcPr>
          <w:p w14:paraId="5145E8AB"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1,40</w:t>
            </w:r>
          </w:p>
        </w:tc>
        <w:tc>
          <w:tcPr>
            <w:tcW w:w="852" w:type="dxa"/>
            <w:tcBorders>
              <w:top w:val="nil"/>
              <w:left w:val="nil"/>
              <w:bottom w:val="single" w:sz="4" w:space="0" w:color="auto"/>
              <w:right w:val="single" w:sz="4" w:space="0" w:color="auto"/>
            </w:tcBorders>
            <w:shd w:val="clear" w:color="000000" w:fill="FFFFFF"/>
            <w:noWrap/>
            <w:vAlign w:val="bottom"/>
            <w:hideMark/>
          </w:tcPr>
          <w:p w14:paraId="01FBC111"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1,24</w:t>
            </w:r>
          </w:p>
        </w:tc>
        <w:tc>
          <w:tcPr>
            <w:tcW w:w="852" w:type="dxa"/>
            <w:tcBorders>
              <w:top w:val="nil"/>
              <w:left w:val="nil"/>
              <w:bottom w:val="single" w:sz="4" w:space="0" w:color="auto"/>
              <w:right w:val="single" w:sz="4" w:space="0" w:color="auto"/>
            </w:tcBorders>
            <w:shd w:val="clear" w:color="000000" w:fill="FFFFFF"/>
            <w:noWrap/>
            <w:vAlign w:val="bottom"/>
            <w:hideMark/>
          </w:tcPr>
          <w:p w14:paraId="322A4D98"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1,29</w:t>
            </w:r>
          </w:p>
        </w:tc>
        <w:tc>
          <w:tcPr>
            <w:tcW w:w="1135" w:type="dxa"/>
            <w:tcBorders>
              <w:top w:val="nil"/>
              <w:left w:val="nil"/>
              <w:bottom w:val="single" w:sz="4" w:space="0" w:color="auto"/>
              <w:right w:val="single" w:sz="4" w:space="0" w:color="auto"/>
            </w:tcBorders>
            <w:shd w:val="clear" w:color="000000" w:fill="FFFFFF"/>
            <w:noWrap/>
            <w:vAlign w:val="bottom"/>
            <w:hideMark/>
          </w:tcPr>
          <w:p w14:paraId="1BEF7E57"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83,17</w:t>
            </w:r>
          </w:p>
        </w:tc>
        <w:tc>
          <w:tcPr>
            <w:tcW w:w="994" w:type="dxa"/>
            <w:tcBorders>
              <w:top w:val="nil"/>
              <w:left w:val="nil"/>
              <w:bottom w:val="single" w:sz="4" w:space="0" w:color="auto"/>
              <w:right w:val="single" w:sz="4" w:space="0" w:color="auto"/>
            </w:tcBorders>
            <w:shd w:val="clear" w:color="000000" w:fill="FFFFFF"/>
            <w:noWrap/>
            <w:vAlign w:val="bottom"/>
            <w:hideMark/>
          </w:tcPr>
          <w:p w14:paraId="4DCE89F9"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73,88</w:t>
            </w:r>
          </w:p>
        </w:tc>
        <w:tc>
          <w:tcPr>
            <w:tcW w:w="988" w:type="dxa"/>
            <w:tcBorders>
              <w:top w:val="nil"/>
              <w:left w:val="nil"/>
              <w:bottom w:val="single" w:sz="4" w:space="0" w:color="auto"/>
              <w:right w:val="single" w:sz="4" w:space="0" w:color="auto"/>
            </w:tcBorders>
            <w:shd w:val="clear" w:color="000000" w:fill="FFFFFF"/>
            <w:noWrap/>
            <w:vAlign w:val="bottom"/>
            <w:hideMark/>
          </w:tcPr>
          <w:p w14:paraId="07900268"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76,77</w:t>
            </w:r>
          </w:p>
        </w:tc>
      </w:tr>
      <w:tr w:rsidR="00497710" w:rsidRPr="00497710" w14:paraId="12BAF4D1" w14:textId="77777777" w:rsidTr="00497710">
        <w:trPr>
          <w:trHeight w:val="267"/>
          <w:jc w:val="center"/>
        </w:trPr>
        <w:tc>
          <w:tcPr>
            <w:tcW w:w="2553" w:type="dxa"/>
            <w:tcBorders>
              <w:top w:val="nil"/>
              <w:left w:val="single" w:sz="4" w:space="0" w:color="auto"/>
              <w:bottom w:val="single" w:sz="4" w:space="0" w:color="auto"/>
              <w:right w:val="single" w:sz="4" w:space="0" w:color="auto"/>
            </w:tcBorders>
            <w:shd w:val="clear" w:color="000000" w:fill="FFFFFF"/>
            <w:noWrap/>
            <w:vAlign w:val="center"/>
            <w:hideMark/>
          </w:tcPr>
          <w:p w14:paraId="675A05AA" w14:textId="77777777" w:rsidR="001E561E" w:rsidRPr="00497710" w:rsidRDefault="001E561E" w:rsidP="005E08AA">
            <w:pPr>
              <w:spacing w:after="0" w:line="240" w:lineRule="auto"/>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Buenos Aires</w:t>
            </w:r>
          </w:p>
        </w:tc>
        <w:tc>
          <w:tcPr>
            <w:tcW w:w="995" w:type="dxa"/>
            <w:tcBorders>
              <w:top w:val="nil"/>
              <w:left w:val="nil"/>
              <w:bottom w:val="single" w:sz="4" w:space="0" w:color="auto"/>
              <w:right w:val="single" w:sz="4" w:space="0" w:color="auto"/>
            </w:tcBorders>
            <w:shd w:val="clear" w:color="000000" w:fill="FFFFFF"/>
            <w:noWrap/>
            <w:vAlign w:val="bottom"/>
            <w:hideMark/>
          </w:tcPr>
          <w:p w14:paraId="03982BCB"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1,06</w:t>
            </w:r>
          </w:p>
        </w:tc>
        <w:tc>
          <w:tcPr>
            <w:tcW w:w="993" w:type="dxa"/>
            <w:tcBorders>
              <w:top w:val="nil"/>
              <w:left w:val="nil"/>
              <w:bottom w:val="single" w:sz="4" w:space="0" w:color="auto"/>
              <w:right w:val="single" w:sz="4" w:space="0" w:color="auto"/>
            </w:tcBorders>
            <w:shd w:val="clear" w:color="000000" w:fill="FFFFFF"/>
            <w:noWrap/>
            <w:vAlign w:val="bottom"/>
            <w:hideMark/>
          </w:tcPr>
          <w:p w14:paraId="7FD4C6D6"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1,22</w:t>
            </w:r>
          </w:p>
        </w:tc>
        <w:tc>
          <w:tcPr>
            <w:tcW w:w="852" w:type="dxa"/>
            <w:tcBorders>
              <w:top w:val="nil"/>
              <w:left w:val="nil"/>
              <w:bottom w:val="single" w:sz="4" w:space="0" w:color="auto"/>
              <w:right w:val="single" w:sz="4" w:space="0" w:color="auto"/>
            </w:tcBorders>
            <w:shd w:val="clear" w:color="000000" w:fill="FFFFFF"/>
            <w:noWrap/>
            <w:vAlign w:val="bottom"/>
            <w:hideMark/>
          </w:tcPr>
          <w:p w14:paraId="20DCF382"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1,23</w:t>
            </w:r>
          </w:p>
        </w:tc>
        <w:tc>
          <w:tcPr>
            <w:tcW w:w="852" w:type="dxa"/>
            <w:tcBorders>
              <w:top w:val="nil"/>
              <w:left w:val="nil"/>
              <w:bottom w:val="single" w:sz="4" w:space="0" w:color="auto"/>
              <w:right w:val="single" w:sz="4" w:space="0" w:color="auto"/>
            </w:tcBorders>
            <w:shd w:val="clear" w:color="000000" w:fill="FFFFFF"/>
            <w:noWrap/>
            <w:vAlign w:val="bottom"/>
            <w:hideMark/>
          </w:tcPr>
          <w:p w14:paraId="57768E21"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1,28</w:t>
            </w:r>
          </w:p>
        </w:tc>
        <w:tc>
          <w:tcPr>
            <w:tcW w:w="1135" w:type="dxa"/>
            <w:tcBorders>
              <w:top w:val="nil"/>
              <w:left w:val="nil"/>
              <w:bottom w:val="single" w:sz="4" w:space="0" w:color="auto"/>
              <w:right w:val="single" w:sz="4" w:space="0" w:color="auto"/>
            </w:tcBorders>
            <w:shd w:val="clear" w:color="000000" w:fill="FFFFFF"/>
            <w:noWrap/>
            <w:vAlign w:val="bottom"/>
            <w:hideMark/>
          </w:tcPr>
          <w:p w14:paraId="7A3761E6"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114,62</w:t>
            </w:r>
          </w:p>
        </w:tc>
        <w:tc>
          <w:tcPr>
            <w:tcW w:w="994" w:type="dxa"/>
            <w:tcBorders>
              <w:top w:val="nil"/>
              <w:left w:val="nil"/>
              <w:bottom w:val="single" w:sz="4" w:space="0" w:color="auto"/>
              <w:right w:val="single" w:sz="4" w:space="0" w:color="auto"/>
            </w:tcBorders>
            <w:shd w:val="clear" w:color="000000" w:fill="FFFFFF"/>
            <w:noWrap/>
            <w:vAlign w:val="bottom"/>
            <w:hideMark/>
          </w:tcPr>
          <w:p w14:paraId="39B3B38F"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116,19</w:t>
            </w:r>
          </w:p>
        </w:tc>
        <w:tc>
          <w:tcPr>
            <w:tcW w:w="988" w:type="dxa"/>
            <w:tcBorders>
              <w:top w:val="nil"/>
              <w:left w:val="nil"/>
              <w:bottom w:val="single" w:sz="4" w:space="0" w:color="auto"/>
              <w:right w:val="single" w:sz="4" w:space="0" w:color="auto"/>
            </w:tcBorders>
            <w:shd w:val="clear" w:color="000000" w:fill="FFFFFF"/>
            <w:noWrap/>
            <w:vAlign w:val="bottom"/>
            <w:hideMark/>
          </w:tcPr>
          <w:p w14:paraId="3DFC4A4B"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120,54</w:t>
            </w:r>
          </w:p>
        </w:tc>
      </w:tr>
      <w:tr w:rsidR="00497710" w:rsidRPr="00497710" w14:paraId="45D35D44" w14:textId="77777777" w:rsidTr="00497710">
        <w:trPr>
          <w:trHeight w:val="267"/>
          <w:jc w:val="center"/>
        </w:trPr>
        <w:tc>
          <w:tcPr>
            <w:tcW w:w="2553" w:type="dxa"/>
            <w:tcBorders>
              <w:top w:val="nil"/>
              <w:left w:val="single" w:sz="4" w:space="0" w:color="auto"/>
              <w:bottom w:val="single" w:sz="4" w:space="0" w:color="auto"/>
              <w:right w:val="single" w:sz="4" w:space="0" w:color="auto"/>
            </w:tcBorders>
            <w:shd w:val="clear" w:color="000000" w:fill="FFFFFF"/>
            <w:noWrap/>
            <w:vAlign w:val="center"/>
            <w:hideMark/>
          </w:tcPr>
          <w:p w14:paraId="294EBA0A" w14:textId="77777777" w:rsidR="001E561E" w:rsidRPr="00497710" w:rsidRDefault="001E561E" w:rsidP="005E08AA">
            <w:pPr>
              <w:spacing w:after="0" w:line="240" w:lineRule="auto"/>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Catamarca</w:t>
            </w:r>
          </w:p>
        </w:tc>
        <w:tc>
          <w:tcPr>
            <w:tcW w:w="995" w:type="dxa"/>
            <w:tcBorders>
              <w:top w:val="nil"/>
              <w:left w:val="nil"/>
              <w:bottom w:val="single" w:sz="4" w:space="0" w:color="auto"/>
              <w:right w:val="single" w:sz="4" w:space="0" w:color="auto"/>
            </w:tcBorders>
            <w:shd w:val="clear" w:color="000000" w:fill="FFFFFF"/>
            <w:noWrap/>
            <w:vAlign w:val="bottom"/>
            <w:hideMark/>
          </w:tcPr>
          <w:p w14:paraId="4C43C961"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0,65</w:t>
            </w:r>
          </w:p>
        </w:tc>
        <w:tc>
          <w:tcPr>
            <w:tcW w:w="993" w:type="dxa"/>
            <w:tcBorders>
              <w:top w:val="nil"/>
              <w:left w:val="nil"/>
              <w:bottom w:val="single" w:sz="4" w:space="0" w:color="auto"/>
              <w:right w:val="single" w:sz="4" w:space="0" w:color="auto"/>
            </w:tcBorders>
            <w:shd w:val="clear" w:color="000000" w:fill="FFFFFF"/>
            <w:noWrap/>
            <w:vAlign w:val="bottom"/>
            <w:hideMark/>
          </w:tcPr>
          <w:p w14:paraId="5F916D78"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0,43</w:t>
            </w:r>
          </w:p>
        </w:tc>
        <w:tc>
          <w:tcPr>
            <w:tcW w:w="852" w:type="dxa"/>
            <w:tcBorders>
              <w:top w:val="nil"/>
              <w:left w:val="nil"/>
              <w:bottom w:val="single" w:sz="4" w:space="0" w:color="auto"/>
              <w:right w:val="single" w:sz="4" w:space="0" w:color="auto"/>
            </w:tcBorders>
            <w:shd w:val="clear" w:color="000000" w:fill="FFFFFF"/>
            <w:noWrap/>
            <w:vAlign w:val="bottom"/>
            <w:hideMark/>
          </w:tcPr>
          <w:p w14:paraId="69218FA0"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0,37</w:t>
            </w:r>
          </w:p>
        </w:tc>
        <w:tc>
          <w:tcPr>
            <w:tcW w:w="852" w:type="dxa"/>
            <w:tcBorders>
              <w:top w:val="nil"/>
              <w:left w:val="nil"/>
              <w:bottom w:val="single" w:sz="4" w:space="0" w:color="auto"/>
              <w:right w:val="single" w:sz="4" w:space="0" w:color="auto"/>
            </w:tcBorders>
            <w:shd w:val="clear" w:color="000000" w:fill="FFFFFF"/>
            <w:noWrap/>
            <w:vAlign w:val="bottom"/>
            <w:hideMark/>
          </w:tcPr>
          <w:p w14:paraId="478FD0B4"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0,40</w:t>
            </w:r>
          </w:p>
        </w:tc>
        <w:tc>
          <w:tcPr>
            <w:tcW w:w="1135" w:type="dxa"/>
            <w:tcBorders>
              <w:top w:val="nil"/>
              <w:left w:val="nil"/>
              <w:bottom w:val="single" w:sz="4" w:space="0" w:color="auto"/>
              <w:right w:val="single" w:sz="4" w:space="0" w:color="auto"/>
            </w:tcBorders>
            <w:shd w:val="clear" w:color="000000" w:fill="FFFFFF"/>
            <w:noWrap/>
            <w:vAlign w:val="bottom"/>
            <w:hideMark/>
          </w:tcPr>
          <w:p w14:paraId="73467296"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66,44</w:t>
            </w:r>
          </w:p>
        </w:tc>
        <w:tc>
          <w:tcPr>
            <w:tcW w:w="994" w:type="dxa"/>
            <w:tcBorders>
              <w:top w:val="nil"/>
              <w:left w:val="nil"/>
              <w:bottom w:val="single" w:sz="4" w:space="0" w:color="auto"/>
              <w:right w:val="single" w:sz="4" w:space="0" w:color="auto"/>
            </w:tcBorders>
            <w:shd w:val="clear" w:color="000000" w:fill="FFFFFF"/>
            <w:noWrap/>
            <w:vAlign w:val="bottom"/>
            <w:hideMark/>
          </w:tcPr>
          <w:p w14:paraId="70A6E597"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56,67</w:t>
            </w:r>
          </w:p>
        </w:tc>
        <w:tc>
          <w:tcPr>
            <w:tcW w:w="988" w:type="dxa"/>
            <w:tcBorders>
              <w:top w:val="nil"/>
              <w:left w:val="nil"/>
              <w:bottom w:val="single" w:sz="4" w:space="0" w:color="auto"/>
              <w:right w:val="single" w:sz="4" w:space="0" w:color="auto"/>
            </w:tcBorders>
            <w:shd w:val="clear" w:color="000000" w:fill="FFFFFF"/>
            <w:noWrap/>
            <w:vAlign w:val="bottom"/>
            <w:hideMark/>
          </w:tcPr>
          <w:p w14:paraId="4DC2D0DC"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60,88</w:t>
            </w:r>
          </w:p>
        </w:tc>
      </w:tr>
      <w:tr w:rsidR="00497710" w:rsidRPr="00497710" w14:paraId="0FEEE8CE" w14:textId="77777777" w:rsidTr="00497710">
        <w:trPr>
          <w:trHeight w:val="267"/>
          <w:jc w:val="center"/>
        </w:trPr>
        <w:tc>
          <w:tcPr>
            <w:tcW w:w="2553" w:type="dxa"/>
            <w:tcBorders>
              <w:top w:val="nil"/>
              <w:left w:val="single" w:sz="4" w:space="0" w:color="auto"/>
              <w:bottom w:val="single" w:sz="4" w:space="0" w:color="auto"/>
              <w:right w:val="single" w:sz="4" w:space="0" w:color="auto"/>
            </w:tcBorders>
            <w:shd w:val="clear" w:color="000000" w:fill="FFFFFF"/>
            <w:noWrap/>
            <w:vAlign w:val="center"/>
            <w:hideMark/>
          </w:tcPr>
          <w:p w14:paraId="58ADCF45" w14:textId="77777777" w:rsidR="001E561E" w:rsidRPr="00497710" w:rsidRDefault="001E561E" w:rsidP="005E08AA">
            <w:pPr>
              <w:spacing w:after="0" w:line="240" w:lineRule="auto"/>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Chaco</w:t>
            </w:r>
          </w:p>
        </w:tc>
        <w:tc>
          <w:tcPr>
            <w:tcW w:w="995" w:type="dxa"/>
            <w:tcBorders>
              <w:top w:val="nil"/>
              <w:left w:val="nil"/>
              <w:bottom w:val="single" w:sz="4" w:space="0" w:color="auto"/>
              <w:right w:val="single" w:sz="4" w:space="0" w:color="auto"/>
            </w:tcBorders>
            <w:shd w:val="clear" w:color="000000" w:fill="FFFFFF"/>
            <w:noWrap/>
            <w:vAlign w:val="bottom"/>
            <w:hideMark/>
          </w:tcPr>
          <w:p w14:paraId="1EF5748B"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0,89</w:t>
            </w:r>
          </w:p>
        </w:tc>
        <w:tc>
          <w:tcPr>
            <w:tcW w:w="993" w:type="dxa"/>
            <w:tcBorders>
              <w:top w:val="nil"/>
              <w:left w:val="nil"/>
              <w:bottom w:val="single" w:sz="4" w:space="0" w:color="auto"/>
              <w:right w:val="single" w:sz="4" w:space="0" w:color="auto"/>
            </w:tcBorders>
            <w:shd w:val="clear" w:color="000000" w:fill="FFFFFF"/>
            <w:noWrap/>
            <w:vAlign w:val="bottom"/>
            <w:hideMark/>
          </w:tcPr>
          <w:p w14:paraId="4984B03E"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1,14</w:t>
            </w:r>
          </w:p>
        </w:tc>
        <w:tc>
          <w:tcPr>
            <w:tcW w:w="852" w:type="dxa"/>
            <w:tcBorders>
              <w:top w:val="nil"/>
              <w:left w:val="nil"/>
              <w:bottom w:val="single" w:sz="4" w:space="0" w:color="auto"/>
              <w:right w:val="single" w:sz="4" w:space="0" w:color="auto"/>
            </w:tcBorders>
            <w:shd w:val="clear" w:color="000000" w:fill="FFFFFF"/>
            <w:noWrap/>
            <w:vAlign w:val="bottom"/>
            <w:hideMark/>
          </w:tcPr>
          <w:p w14:paraId="026A19C3"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0,90</w:t>
            </w:r>
          </w:p>
        </w:tc>
        <w:tc>
          <w:tcPr>
            <w:tcW w:w="852" w:type="dxa"/>
            <w:tcBorders>
              <w:top w:val="nil"/>
              <w:left w:val="nil"/>
              <w:bottom w:val="single" w:sz="4" w:space="0" w:color="auto"/>
              <w:right w:val="single" w:sz="4" w:space="0" w:color="auto"/>
            </w:tcBorders>
            <w:shd w:val="clear" w:color="000000" w:fill="FFFFFF"/>
            <w:noWrap/>
            <w:vAlign w:val="bottom"/>
            <w:hideMark/>
          </w:tcPr>
          <w:p w14:paraId="3B6AFC25"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0,88</w:t>
            </w:r>
          </w:p>
        </w:tc>
        <w:tc>
          <w:tcPr>
            <w:tcW w:w="1135" w:type="dxa"/>
            <w:tcBorders>
              <w:top w:val="nil"/>
              <w:left w:val="nil"/>
              <w:bottom w:val="single" w:sz="4" w:space="0" w:color="auto"/>
              <w:right w:val="single" w:sz="4" w:space="0" w:color="auto"/>
            </w:tcBorders>
            <w:shd w:val="clear" w:color="000000" w:fill="FFFFFF"/>
            <w:noWrap/>
            <w:vAlign w:val="bottom"/>
            <w:hideMark/>
          </w:tcPr>
          <w:p w14:paraId="1257FB07"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127,69</w:t>
            </w:r>
          </w:p>
        </w:tc>
        <w:tc>
          <w:tcPr>
            <w:tcW w:w="994" w:type="dxa"/>
            <w:tcBorders>
              <w:top w:val="nil"/>
              <w:left w:val="nil"/>
              <w:bottom w:val="single" w:sz="4" w:space="0" w:color="auto"/>
              <w:right w:val="single" w:sz="4" w:space="0" w:color="auto"/>
            </w:tcBorders>
            <w:shd w:val="clear" w:color="000000" w:fill="FFFFFF"/>
            <w:noWrap/>
            <w:vAlign w:val="bottom"/>
            <w:hideMark/>
          </w:tcPr>
          <w:p w14:paraId="5445EF05"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100,88</w:t>
            </w:r>
          </w:p>
        </w:tc>
        <w:tc>
          <w:tcPr>
            <w:tcW w:w="988" w:type="dxa"/>
            <w:tcBorders>
              <w:top w:val="nil"/>
              <w:left w:val="nil"/>
              <w:bottom w:val="single" w:sz="4" w:space="0" w:color="auto"/>
              <w:right w:val="single" w:sz="4" w:space="0" w:color="auto"/>
            </w:tcBorders>
            <w:shd w:val="clear" w:color="000000" w:fill="FFFFFF"/>
            <w:noWrap/>
            <w:vAlign w:val="bottom"/>
            <w:hideMark/>
          </w:tcPr>
          <w:p w14:paraId="19EF647E"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97,97</w:t>
            </w:r>
          </w:p>
        </w:tc>
      </w:tr>
      <w:tr w:rsidR="00497710" w:rsidRPr="00497710" w14:paraId="464DAB33" w14:textId="77777777" w:rsidTr="00497710">
        <w:trPr>
          <w:trHeight w:val="267"/>
          <w:jc w:val="center"/>
        </w:trPr>
        <w:tc>
          <w:tcPr>
            <w:tcW w:w="2553" w:type="dxa"/>
            <w:tcBorders>
              <w:top w:val="nil"/>
              <w:left w:val="single" w:sz="4" w:space="0" w:color="auto"/>
              <w:bottom w:val="single" w:sz="4" w:space="0" w:color="auto"/>
              <w:right w:val="single" w:sz="4" w:space="0" w:color="auto"/>
            </w:tcBorders>
            <w:shd w:val="clear" w:color="000000" w:fill="FFFFFF"/>
            <w:noWrap/>
            <w:vAlign w:val="center"/>
            <w:hideMark/>
          </w:tcPr>
          <w:p w14:paraId="5B65CEB2" w14:textId="77777777" w:rsidR="001E561E" w:rsidRPr="00497710" w:rsidRDefault="001E561E" w:rsidP="005E08AA">
            <w:pPr>
              <w:spacing w:after="0" w:line="240" w:lineRule="auto"/>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Chubut</w:t>
            </w:r>
          </w:p>
        </w:tc>
        <w:tc>
          <w:tcPr>
            <w:tcW w:w="995" w:type="dxa"/>
            <w:tcBorders>
              <w:top w:val="nil"/>
              <w:left w:val="nil"/>
              <w:bottom w:val="single" w:sz="4" w:space="0" w:color="auto"/>
              <w:right w:val="single" w:sz="4" w:space="0" w:color="auto"/>
            </w:tcBorders>
            <w:shd w:val="clear" w:color="000000" w:fill="FFFFFF"/>
            <w:noWrap/>
            <w:vAlign w:val="bottom"/>
            <w:hideMark/>
          </w:tcPr>
          <w:p w14:paraId="6BB774C7"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0,69</w:t>
            </w:r>
          </w:p>
        </w:tc>
        <w:tc>
          <w:tcPr>
            <w:tcW w:w="993" w:type="dxa"/>
            <w:tcBorders>
              <w:top w:val="nil"/>
              <w:left w:val="nil"/>
              <w:bottom w:val="single" w:sz="4" w:space="0" w:color="auto"/>
              <w:right w:val="single" w:sz="4" w:space="0" w:color="auto"/>
            </w:tcBorders>
            <w:shd w:val="clear" w:color="000000" w:fill="FFFFFF"/>
            <w:noWrap/>
            <w:vAlign w:val="bottom"/>
            <w:hideMark/>
          </w:tcPr>
          <w:p w14:paraId="7807E8A1"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0,82</w:t>
            </w:r>
          </w:p>
        </w:tc>
        <w:tc>
          <w:tcPr>
            <w:tcW w:w="852" w:type="dxa"/>
            <w:tcBorders>
              <w:top w:val="nil"/>
              <w:left w:val="nil"/>
              <w:bottom w:val="single" w:sz="4" w:space="0" w:color="auto"/>
              <w:right w:val="single" w:sz="4" w:space="0" w:color="auto"/>
            </w:tcBorders>
            <w:shd w:val="clear" w:color="000000" w:fill="FFFFFF"/>
            <w:noWrap/>
            <w:vAlign w:val="bottom"/>
            <w:hideMark/>
          </w:tcPr>
          <w:p w14:paraId="62746FE2"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1,01</w:t>
            </w:r>
          </w:p>
        </w:tc>
        <w:tc>
          <w:tcPr>
            <w:tcW w:w="852" w:type="dxa"/>
            <w:tcBorders>
              <w:top w:val="nil"/>
              <w:left w:val="nil"/>
              <w:bottom w:val="single" w:sz="4" w:space="0" w:color="auto"/>
              <w:right w:val="single" w:sz="4" w:space="0" w:color="auto"/>
            </w:tcBorders>
            <w:shd w:val="clear" w:color="000000" w:fill="FFFFFF"/>
            <w:noWrap/>
            <w:vAlign w:val="bottom"/>
            <w:hideMark/>
          </w:tcPr>
          <w:p w14:paraId="27F513A2"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0,96</w:t>
            </w:r>
          </w:p>
        </w:tc>
        <w:tc>
          <w:tcPr>
            <w:tcW w:w="1135" w:type="dxa"/>
            <w:tcBorders>
              <w:top w:val="nil"/>
              <w:left w:val="nil"/>
              <w:bottom w:val="single" w:sz="4" w:space="0" w:color="auto"/>
              <w:right w:val="single" w:sz="4" w:space="0" w:color="auto"/>
            </w:tcBorders>
            <w:shd w:val="clear" w:color="000000" w:fill="FFFFFF"/>
            <w:noWrap/>
            <w:vAlign w:val="bottom"/>
            <w:hideMark/>
          </w:tcPr>
          <w:p w14:paraId="7FFF0238"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117,59</w:t>
            </w:r>
          </w:p>
        </w:tc>
        <w:tc>
          <w:tcPr>
            <w:tcW w:w="994" w:type="dxa"/>
            <w:tcBorders>
              <w:top w:val="nil"/>
              <w:left w:val="nil"/>
              <w:bottom w:val="single" w:sz="4" w:space="0" w:color="auto"/>
              <w:right w:val="single" w:sz="4" w:space="0" w:color="auto"/>
            </w:tcBorders>
            <w:shd w:val="clear" w:color="000000" w:fill="FFFFFF"/>
            <w:noWrap/>
            <w:vAlign w:val="bottom"/>
            <w:hideMark/>
          </w:tcPr>
          <w:p w14:paraId="75050C69"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145,61</w:t>
            </w:r>
          </w:p>
        </w:tc>
        <w:tc>
          <w:tcPr>
            <w:tcW w:w="988" w:type="dxa"/>
            <w:tcBorders>
              <w:top w:val="nil"/>
              <w:left w:val="nil"/>
              <w:bottom w:val="single" w:sz="4" w:space="0" w:color="auto"/>
              <w:right w:val="single" w:sz="4" w:space="0" w:color="auto"/>
            </w:tcBorders>
            <w:shd w:val="clear" w:color="000000" w:fill="FFFFFF"/>
            <w:noWrap/>
            <w:vAlign w:val="bottom"/>
            <w:hideMark/>
          </w:tcPr>
          <w:p w14:paraId="5DBA11E7"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137,71</w:t>
            </w:r>
          </w:p>
        </w:tc>
      </w:tr>
      <w:tr w:rsidR="00497710" w:rsidRPr="00497710" w14:paraId="7F87A849" w14:textId="77777777" w:rsidTr="00497710">
        <w:trPr>
          <w:trHeight w:val="267"/>
          <w:jc w:val="center"/>
        </w:trPr>
        <w:tc>
          <w:tcPr>
            <w:tcW w:w="2553" w:type="dxa"/>
            <w:tcBorders>
              <w:top w:val="nil"/>
              <w:left w:val="single" w:sz="4" w:space="0" w:color="auto"/>
              <w:bottom w:val="single" w:sz="4" w:space="0" w:color="auto"/>
              <w:right w:val="single" w:sz="4" w:space="0" w:color="auto"/>
            </w:tcBorders>
            <w:shd w:val="clear" w:color="000000" w:fill="FFFFFF"/>
            <w:noWrap/>
            <w:vAlign w:val="center"/>
            <w:hideMark/>
          </w:tcPr>
          <w:p w14:paraId="2CADAD07" w14:textId="77777777" w:rsidR="001E561E" w:rsidRPr="00497710" w:rsidRDefault="001E561E" w:rsidP="005E08AA">
            <w:pPr>
              <w:spacing w:after="0" w:line="240" w:lineRule="auto"/>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Córdoba</w:t>
            </w:r>
          </w:p>
        </w:tc>
        <w:tc>
          <w:tcPr>
            <w:tcW w:w="995" w:type="dxa"/>
            <w:tcBorders>
              <w:top w:val="nil"/>
              <w:left w:val="nil"/>
              <w:bottom w:val="single" w:sz="4" w:space="0" w:color="auto"/>
              <w:right w:val="single" w:sz="4" w:space="0" w:color="auto"/>
            </w:tcBorders>
            <w:shd w:val="clear" w:color="000000" w:fill="FFFFFF"/>
            <w:noWrap/>
            <w:vAlign w:val="bottom"/>
            <w:hideMark/>
          </w:tcPr>
          <w:p w14:paraId="1DD3B5CB"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1,30</w:t>
            </w:r>
          </w:p>
        </w:tc>
        <w:tc>
          <w:tcPr>
            <w:tcW w:w="993" w:type="dxa"/>
            <w:tcBorders>
              <w:top w:val="nil"/>
              <w:left w:val="nil"/>
              <w:bottom w:val="single" w:sz="4" w:space="0" w:color="auto"/>
              <w:right w:val="single" w:sz="4" w:space="0" w:color="auto"/>
            </w:tcBorders>
            <w:shd w:val="clear" w:color="000000" w:fill="FFFFFF"/>
            <w:noWrap/>
            <w:vAlign w:val="bottom"/>
            <w:hideMark/>
          </w:tcPr>
          <w:p w14:paraId="5DF1F4D3"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0,96</w:t>
            </w:r>
          </w:p>
        </w:tc>
        <w:tc>
          <w:tcPr>
            <w:tcW w:w="852" w:type="dxa"/>
            <w:tcBorders>
              <w:top w:val="nil"/>
              <w:left w:val="nil"/>
              <w:bottom w:val="single" w:sz="4" w:space="0" w:color="auto"/>
              <w:right w:val="single" w:sz="4" w:space="0" w:color="auto"/>
            </w:tcBorders>
            <w:shd w:val="clear" w:color="000000" w:fill="FFFFFF"/>
            <w:noWrap/>
            <w:vAlign w:val="bottom"/>
            <w:hideMark/>
          </w:tcPr>
          <w:p w14:paraId="264A38D1"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1,17</w:t>
            </w:r>
          </w:p>
        </w:tc>
        <w:tc>
          <w:tcPr>
            <w:tcW w:w="852" w:type="dxa"/>
            <w:tcBorders>
              <w:top w:val="nil"/>
              <w:left w:val="nil"/>
              <w:bottom w:val="single" w:sz="4" w:space="0" w:color="auto"/>
              <w:right w:val="single" w:sz="4" w:space="0" w:color="auto"/>
            </w:tcBorders>
            <w:shd w:val="clear" w:color="000000" w:fill="FFFFFF"/>
            <w:noWrap/>
            <w:vAlign w:val="bottom"/>
            <w:hideMark/>
          </w:tcPr>
          <w:p w14:paraId="08726E90"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1,18</w:t>
            </w:r>
          </w:p>
        </w:tc>
        <w:tc>
          <w:tcPr>
            <w:tcW w:w="1135" w:type="dxa"/>
            <w:tcBorders>
              <w:top w:val="nil"/>
              <w:left w:val="nil"/>
              <w:bottom w:val="single" w:sz="4" w:space="0" w:color="auto"/>
              <w:right w:val="single" w:sz="4" w:space="0" w:color="auto"/>
            </w:tcBorders>
            <w:shd w:val="clear" w:color="000000" w:fill="FFFFFF"/>
            <w:noWrap/>
            <w:vAlign w:val="bottom"/>
            <w:hideMark/>
          </w:tcPr>
          <w:p w14:paraId="29084C7A"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73,86</w:t>
            </w:r>
          </w:p>
        </w:tc>
        <w:tc>
          <w:tcPr>
            <w:tcW w:w="994" w:type="dxa"/>
            <w:tcBorders>
              <w:top w:val="nil"/>
              <w:left w:val="nil"/>
              <w:bottom w:val="single" w:sz="4" w:space="0" w:color="auto"/>
              <w:right w:val="single" w:sz="4" w:space="0" w:color="auto"/>
            </w:tcBorders>
            <w:shd w:val="clear" w:color="000000" w:fill="FFFFFF"/>
            <w:noWrap/>
            <w:vAlign w:val="bottom"/>
            <w:hideMark/>
          </w:tcPr>
          <w:p w14:paraId="3E6AA6B5"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90,36</w:t>
            </w:r>
          </w:p>
        </w:tc>
        <w:tc>
          <w:tcPr>
            <w:tcW w:w="988" w:type="dxa"/>
            <w:tcBorders>
              <w:top w:val="nil"/>
              <w:left w:val="nil"/>
              <w:bottom w:val="single" w:sz="4" w:space="0" w:color="auto"/>
              <w:right w:val="single" w:sz="4" w:space="0" w:color="auto"/>
            </w:tcBorders>
            <w:shd w:val="clear" w:color="000000" w:fill="FFFFFF"/>
            <w:noWrap/>
            <w:vAlign w:val="bottom"/>
            <w:hideMark/>
          </w:tcPr>
          <w:p w14:paraId="1C8A450C"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90,87</w:t>
            </w:r>
          </w:p>
        </w:tc>
      </w:tr>
      <w:tr w:rsidR="00497710" w:rsidRPr="00497710" w14:paraId="13CDCAE6" w14:textId="77777777" w:rsidTr="00497710">
        <w:trPr>
          <w:trHeight w:val="267"/>
          <w:jc w:val="center"/>
        </w:trPr>
        <w:tc>
          <w:tcPr>
            <w:tcW w:w="2553" w:type="dxa"/>
            <w:tcBorders>
              <w:top w:val="nil"/>
              <w:left w:val="single" w:sz="4" w:space="0" w:color="auto"/>
              <w:bottom w:val="single" w:sz="4" w:space="0" w:color="auto"/>
              <w:right w:val="single" w:sz="4" w:space="0" w:color="auto"/>
            </w:tcBorders>
            <w:shd w:val="clear" w:color="000000" w:fill="FFFFFF"/>
            <w:noWrap/>
            <w:vAlign w:val="center"/>
            <w:hideMark/>
          </w:tcPr>
          <w:p w14:paraId="124FEAF0" w14:textId="77777777" w:rsidR="001E561E" w:rsidRPr="00497710" w:rsidRDefault="001E561E" w:rsidP="005E08AA">
            <w:pPr>
              <w:spacing w:after="0" w:line="240" w:lineRule="auto"/>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Corrientes</w:t>
            </w:r>
          </w:p>
        </w:tc>
        <w:tc>
          <w:tcPr>
            <w:tcW w:w="995" w:type="dxa"/>
            <w:tcBorders>
              <w:top w:val="nil"/>
              <w:left w:val="nil"/>
              <w:bottom w:val="single" w:sz="4" w:space="0" w:color="auto"/>
              <w:right w:val="single" w:sz="4" w:space="0" w:color="auto"/>
            </w:tcBorders>
            <w:shd w:val="clear" w:color="000000" w:fill="FFFFFF"/>
            <w:noWrap/>
            <w:vAlign w:val="bottom"/>
            <w:hideMark/>
          </w:tcPr>
          <w:p w14:paraId="1EF4BAC1"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0,85</w:t>
            </w:r>
          </w:p>
        </w:tc>
        <w:tc>
          <w:tcPr>
            <w:tcW w:w="993" w:type="dxa"/>
            <w:tcBorders>
              <w:top w:val="nil"/>
              <w:left w:val="nil"/>
              <w:bottom w:val="single" w:sz="4" w:space="0" w:color="auto"/>
              <w:right w:val="single" w:sz="4" w:space="0" w:color="auto"/>
            </w:tcBorders>
            <w:shd w:val="clear" w:color="000000" w:fill="FFFFFF"/>
            <w:noWrap/>
            <w:vAlign w:val="bottom"/>
            <w:hideMark/>
          </w:tcPr>
          <w:p w14:paraId="2DAD2F1E"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0,66</w:t>
            </w:r>
          </w:p>
        </w:tc>
        <w:tc>
          <w:tcPr>
            <w:tcW w:w="852" w:type="dxa"/>
            <w:tcBorders>
              <w:top w:val="nil"/>
              <w:left w:val="nil"/>
              <w:bottom w:val="single" w:sz="4" w:space="0" w:color="auto"/>
              <w:right w:val="single" w:sz="4" w:space="0" w:color="auto"/>
            </w:tcBorders>
            <w:shd w:val="clear" w:color="000000" w:fill="FFFFFF"/>
            <w:noWrap/>
            <w:vAlign w:val="bottom"/>
            <w:hideMark/>
          </w:tcPr>
          <w:p w14:paraId="67F563CB"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0,82</w:t>
            </w:r>
          </w:p>
        </w:tc>
        <w:tc>
          <w:tcPr>
            <w:tcW w:w="852" w:type="dxa"/>
            <w:tcBorders>
              <w:top w:val="nil"/>
              <w:left w:val="nil"/>
              <w:bottom w:val="single" w:sz="4" w:space="0" w:color="auto"/>
              <w:right w:val="single" w:sz="4" w:space="0" w:color="auto"/>
            </w:tcBorders>
            <w:shd w:val="clear" w:color="000000" w:fill="FFFFFF"/>
            <w:noWrap/>
            <w:vAlign w:val="bottom"/>
            <w:hideMark/>
          </w:tcPr>
          <w:p w14:paraId="4C02510A"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0,82</w:t>
            </w:r>
          </w:p>
        </w:tc>
        <w:tc>
          <w:tcPr>
            <w:tcW w:w="1135" w:type="dxa"/>
            <w:tcBorders>
              <w:top w:val="nil"/>
              <w:left w:val="nil"/>
              <w:bottom w:val="single" w:sz="4" w:space="0" w:color="auto"/>
              <w:right w:val="single" w:sz="4" w:space="0" w:color="auto"/>
            </w:tcBorders>
            <w:shd w:val="clear" w:color="000000" w:fill="FFFFFF"/>
            <w:noWrap/>
            <w:vAlign w:val="bottom"/>
            <w:hideMark/>
          </w:tcPr>
          <w:p w14:paraId="0FEBD4DC"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77,92</w:t>
            </w:r>
          </w:p>
        </w:tc>
        <w:tc>
          <w:tcPr>
            <w:tcW w:w="994" w:type="dxa"/>
            <w:tcBorders>
              <w:top w:val="nil"/>
              <w:left w:val="nil"/>
              <w:bottom w:val="single" w:sz="4" w:space="0" w:color="auto"/>
              <w:right w:val="single" w:sz="4" w:space="0" w:color="auto"/>
            </w:tcBorders>
            <w:shd w:val="clear" w:color="000000" w:fill="FFFFFF"/>
            <w:noWrap/>
            <w:vAlign w:val="bottom"/>
            <w:hideMark/>
          </w:tcPr>
          <w:p w14:paraId="6551C8CC"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97,36</w:t>
            </w:r>
          </w:p>
        </w:tc>
        <w:tc>
          <w:tcPr>
            <w:tcW w:w="988" w:type="dxa"/>
            <w:tcBorders>
              <w:top w:val="nil"/>
              <w:left w:val="nil"/>
              <w:bottom w:val="single" w:sz="4" w:space="0" w:color="auto"/>
              <w:right w:val="single" w:sz="4" w:space="0" w:color="auto"/>
            </w:tcBorders>
            <w:shd w:val="clear" w:color="000000" w:fill="FFFFFF"/>
            <w:noWrap/>
            <w:vAlign w:val="bottom"/>
            <w:hideMark/>
          </w:tcPr>
          <w:p w14:paraId="0D9121E3"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96,33</w:t>
            </w:r>
          </w:p>
        </w:tc>
      </w:tr>
      <w:tr w:rsidR="00497710" w:rsidRPr="00497710" w14:paraId="2BAACDA6" w14:textId="77777777" w:rsidTr="00497710">
        <w:trPr>
          <w:trHeight w:val="267"/>
          <w:jc w:val="center"/>
        </w:trPr>
        <w:tc>
          <w:tcPr>
            <w:tcW w:w="2553" w:type="dxa"/>
            <w:tcBorders>
              <w:top w:val="nil"/>
              <w:left w:val="single" w:sz="4" w:space="0" w:color="auto"/>
              <w:bottom w:val="single" w:sz="4" w:space="0" w:color="auto"/>
              <w:right w:val="single" w:sz="4" w:space="0" w:color="auto"/>
            </w:tcBorders>
            <w:shd w:val="clear" w:color="000000" w:fill="FFFFFF"/>
            <w:noWrap/>
            <w:vAlign w:val="center"/>
            <w:hideMark/>
          </w:tcPr>
          <w:p w14:paraId="58ED8D54" w14:textId="77777777" w:rsidR="001E561E" w:rsidRPr="00497710" w:rsidRDefault="001E561E" w:rsidP="005E08AA">
            <w:pPr>
              <w:spacing w:after="0" w:line="240" w:lineRule="auto"/>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Entre Ríos</w:t>
            </w:r>
          </w:p>
        </w:tc>
        <w:tc>
          <w:tcPr>
            <w:tcW w:w="995" w:type="dxa"/>
            <w:tcBorders>
              <w:top w:val="nil"/>
              <w:left w:val="nil"/>
              <w:bottom w:val="single" w:sz="4" w:space="0" w:color="auto"/>
              <w:right w:val="single" w:sz="4" w:space="0" w:color="auto"/>
            </w:tcBorders>
            <w:shd w:val="clear" w:color="000000" w:fill="FFFFFF"/>
            <w:noWrap/>
            <w:vAlign w:val="bottom"/>
            <w:hideMark/>
          </w:tcPr>
          <w:p w14:paraId="2C53BD10"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0,90</w:t>
            </w:r>
          </w:p>
        </w:tc>
        <w:tc>
          <w:tcPr>
            <w:tcW w:w="993" w:type="dxa"/>
            <w:tcBorders>
              <w:top w:val="nil"/>
              <w:left w:val="nil"/>
              <w:bottom w:val="single" w:sz="4" w:space="0" w:color="auto"/>
              <w:right w:val="single" w:sz="4" w:space="0" w:color="auto"/>
            </w:tcBorders>
            <w:shd w:val="clear" w:color="000000" w:fill="FFFFFF"/>
            <w:noWrap/>
            <w:vAlign w:val="bottom"/>
            <w:hideMark/>
          </w:tcPr>
          <w:p w14:paraId="2388D7B8"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1,01</w:t>
            </w:r>
          </w:p>
        </w:tc>
        <w:tc>
          <w:tcPr>
            <w:tcW w:w="852" w:type="dxa"/>
            <w:tcBorders>
              <w:top w:val="nil"/>
              <w:left w:val="nil"/>
              <w:bottom w:val="single" w:sz="4" w:space="0" w:color="auto"/>
              <w:right w:val="single" w:sz="4" w:space="0" w:color="auto"/>
            </w:tcBorders>
            <w:shd w:val="clear" w:color="000000" w:fill="FFFFFF"/>
            <w:noWrap/>
            <w:vAlign w:val="bottom"/>
            <w:hideMark/>
          </w:tcPr>
          <w:p w14:paraId="53C87D91"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1,01</w:t>
            </w:r>
          </w:p>
        </w:tc>
        <w:tc>
          <w:tcPr>
            <w:tcW w:w="852" w:type="dxa"/>
            <w:tcBorders>
              <w:top w:val="nil"/>
              <w:left w:val="nil"/>
              <w:bottom w:val="single" w:sz="4" w:space="0" w:color="auto"/>
              <w:right w:val="single" w:sz="4" w:space="0" w:color="auto"/>
            </w:tcBorders>
            <w:shd w:val="clear" w:color="000000" w:fill="FFFFFF"/>
            <w:noWrap/>
            <w:vAlign w:val="bottom"/>
            <w:hideMark/>
          </w:tcPr>
          <w:p w14:paraId="4D8607B4"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0,92</w:t>
            </w:r>
          </w:p>
        </w:tc>
        <w:tc>
          <w:tcPr>
            <w:tcW w:w="1135" w:type="dxa"/>
            <w:tcBorders>
              <w:top w:val="nil"/>
              <w:left w:val="nil"/>
              <w:bottom w:val="single" w:sz="4" w:space="0" w:color="auto"/>
              <w:right w:val="single" w:sz="4" w:space="0" w:color="auto"/>
            </w:tcBorders>
            <w:shd w:val="clear" w:color="000000" w:fill="FFFFFF"/>
            <w:noWrap/>
            <w:vAlign w:val="bottom"/>
            <w:hideMark/>
          </w:tcPr>
          <w:p w14:paraId="29E2710A"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111,87</w:t>
            </w:r>
          </w:p>
        </w:tc>
        <w:tc>
          <w:tcPr>
            <w:tcW w:w="994" w:type="dxa"/>
            <w:tcBorders>
              <w:top w:val="nil"/>
              <w:left w:val="nil"/>
              <w:bottom w:val="single" w:sz="4" w:space="0" w:color="auto"/>
              <w:right w:val="single" w:sz="4" w:space="0" w:color="auto"/>
            </w:tcBorders>
            <w:shd w:val="clear" w:color="000000" w:fill="FFFFFF"/>
            <w:noWrap/>
            <w:vAlign w:val="bottom"/>
            <w:hideMark/>
          </w:tcPr>
          <w:p w14:paraId="6F174EA4"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112,04</w:t>
            </w:r>
          </w:p>
        </w:tc>
        <w:tc>
          <w:tcPr>
            <w:tcW w:w="988" w:type="dxa"/>
            <w:tcBorders>
              <w:top w:val="nil"/>
              <w:left w:val="nil"/>
              <w:bottom w:val="single" w:sz="4" w:space="0" w:color="auto"/>
              <w:right w:val="single" w:sz="4" w:space="0" w:color="auto"/>
            </w:tcBorders>
            <w:shd w:val="clear" w:color="000000" w:fill="FFFFFF"/>
            <w:noWrap/>
            <w:vAlign w:val="bottom"/>
            <w:hideMark/>
          </w:tcPr>
          <w:p w14:paraId="6C30EAC1"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102,00</w:t>
            </w:r>
          </w:p>
        </w:tc>
      </w:tr>
      <w:tr w:rsidR="00497710" w:rsidRPr="00497710" w14:paraId="075470C0" w14:textId="77777777" w:rsidTr="00497710">
        <w:trPr>
          <w:trHeight w:val="267"/>
          <w:jc w:val="center"/>
        </w:trPr>
        <w:tc>
          <w:tcPr>
            <w:tcW w:w="2553" w:type="dxa"/>
            <w:tcBorders>
              <w:top w:val="nil"/>
              <w:left w:val="single" w:sz="4" w:space="0" w:color="auto"/>
              <w:bottom w:val="single" w:sz="4" w:space="0" w:color="auto"/>
              <w:right w:val="single" w:sz="4" w:space="0" w:color="auto"/>
            </w:tcBorders>
            <w:shd w:val="clear" w:color="000000" w:fill="FFFFFF"/>
            <w:noWrap/>
            <w:vAlign w:val="center"/>
            <w:hideMark/>
          </w:tcPr>
          <w:p w14:paraId="52A0238F" w14:textId="77777777" w:rsidR="001E561E" w:rsidRPr="00497710" w:rsidRDefault="001E561E" w:rsidP="005E08AA">
            <w:pPr>
              <w:spacing w:after="0" w:line="240" w:lineRule="auto"/>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Formosa</w:t>
            </w:r>
          </w:p>
        </w:tc>
        <w:tc>
          <w:tcPr>
            <w:tcW w:w="995" w:type="dxa"/>
            <w:tcBorders>
              <w:top w:val="nil"/>
              <w:left w:val="nil"/>
              <w:bottom w:val="single" w:sz="4" w:space="0" w:color="auto"/>
              <w:right w:val="single" w:sz="4" w:space="0" w:color="auto"/>
            </w:tcBorders>
            <w:shd w:val="clear" w:color="000000" w:fill="FFFFFF"/>
            <w:noWrap/>
            <w:vAlign w:val="bottom"/>
            <w:hideMark/>
          </w:tcPr>
          <w:p w14:paraId="6480FF03"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0,79</w:t>
            </w:r>
          </w:p>
        </w:tc>
        <w:tc>
          <w:tcPr>
            <w:tcW w:w="993" w:type="dxa"/>
            <w:tcBorders>
              <w:top w:val="nil"/>
              <w:left w:val="nil"/>
              <w:bottom w:val="single" w:sz="4" w:space="0" w:color="auto"/>
              <w:right w:val="single" w:sz="4" w:space="0" w:color="auto"/>
            </w:tcBorders>
            <w:shd w:val="clear" w:color="000000" w:fill="FFFFFF"/>
            <w:noWrap/>
            <w:vAlign w:val="bottom"/>
            <w:hideMark/>
          </w:tcPr>
          <w:p w14:paraId="43C3FCAB"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0,69</w:t>
            </w:r>
          </w:p>
        </w:tc>
        <w:tc>
          <w:tcPr>
            <w:tcW w:w="852" w:type="dxa"/>
            <w:tcBorders>
              <w:top w:val="nil"/>
              <w:left w:val="nil"/>
              <w:bottom w:val="single" w:sz="4" w:space="0" w:color="auto"/>
              <w:right w:val="single" w:sz="4" w:space="0" w:color="auto"/>
            </w:tcBorders>
            <w:shd w:val="clear" w:color="000000" w:fill="FFFFFF"/>
            <w:noWrap/>
            <w:vAlign w:val="bottom"/>
            <w:hideMark/>
          </w:tcPr>
          <w:p w14:paraId="50C0F926"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0,72</w:t>
            </w:r>
          </w:p>
        </w:tc>
        <w:tc>
          <w:tcPr>
            <w:tcW w:w="852" w:type="dxa"/>
            <w:tcBorders>
              <w:top w:val="nil"/>
              <w:left w:val="nil"/>
              <w:bottom w:val="single" w:sz="4" w:space="0" w:color="auto"/>
              <w:right w:val="single" w:sz="4" w:space="0" w:color="auto"/>
            </w:tcBorders>
            <w:shd w:val="clear" w:color="000000" w:fill="FFFFFF"/>
            <w:noWrap/>
            <w:vAlign w:val="bottom"/>
            <w:hideMark/>
          </w:tcPr>
          <w:p w14:paraId="1622F628"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0,73</w:t>
            </w:r>
          </w:p>
        </w:tc>
        <w:tc>
          <w:tcPr>
            <w:tcW w:w="1135" w:type="dxa"/>
            <w:tcBorders>
              <w:top w:val="nil"/>
              <w:left w:val="nil"/>
              <w:bottom w:val="single" w:sz="4" w:space="0" w:color="auto"/>
              <w:right w:val="single" w:sz="4" w:space="0" w:color="auto"/>
            </w:tcBorders>
            <w:shd w:val="clear" w:color="000000" w:fill="FFFFFF"/>
            <w:noWrap/>
            <w:vAlign w:val="bottom"/>
            <w:hideMark/>
          </w:tcPr>
          <w:p w14:paraId="564A1DB8"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87,42</w:t>
            </w:r>
          </w:p>
        </w:tc>
        <w:tc>
          <w:tcPr>
            <w:tcW w:w="994" w:type="dxa"/>
            <w:tcBorders>
              <w:top w:val="nil"/>
              <w:left w:val="nil"/>
              <w:bottom w:val="single" w:sz="4" w:space="0" w:color="auto"/>
              <w:right w:val="single" w:sz="4" w:space="0" w:color="auto"/>
            </w:tcBorders>
            <w:shd w:val="clear" w:color="000000" w:fill="FFFFFF"/>
            <w:noWrap/>
            <w:vAlign w:val="bottom"/>
            <w:hideMark/>
          </w:tcPr>
          <w:p w14:paraId="7462F6BB"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90,53</w:t>
            </w:r>
          </w:p>
        </w:tc>
        <w:tc>
          <w:tcPr>
            <w:tcW w:w="988" w:type="dxa"/>
            <w:tcBorders>
              <w:top w:val="nil"/>
              <w:left w:val="nil"/>
              <w:bottom w:val="single" w:sz="4" w:space="0" w:color="auto"/>
              <w:right w:val="single" w:sz="4" w:space="0" w:color="auto"/>
            </w:tcBorders>
            <w:shd w:val="clear" w:color="000000" w:fill="FFFFFF"/>
            <w:noWrap/>
            <w:vAlign w:val="bottom"/>
            <w:hideMark/>
          </w:tcPr>
          <w:p w14:paraId="13A04A70"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92,68</w:t>
            </w:r>
          </w:p>
        </w:tc>
      </w:tr>
      <w:tr w:rsidR="00497710" w:rsidRPr="00497710" w14:paraId="1C755517" w14:textId="77777777" w:rsidTr="00497710">
        <w:trPr>
          <w:trHeight w:val="267"/>
          <w:jc w:val="center"/>
        </w:trPr>
        <w:tc>
          <w:tcPr>
            <w:tcW w:w="2553" w:type="dxa"/>
            <w:tcBorders>
              <w:top w:val="nil"/>
              <w:left w:val="single" w:sz="4" w:space="0" w:color="auto"/>
              <w:bottom w:val="single" w:sz="4" w:space="0" w:color="auto"/>
              <w:right w:val="single" w:sz="4" w:space="0" w:color="auto"/>
            </w:tcBorders>
            <w:shd w:val="clear" w:color="000000" w:fill="FFFFFF"/>
            <w:noWrap/>
            <w:vAlign w:val="center"/>
            <w:hideMark/>
          </w:tcPr>
          <w:p w14:paraId="4D7622DB" w14:textId="77777777" w:rsidR="001E561E" w:rsidRPr="00497710" w:rsidRDefault="001E561E" w:rsidP="005E08AA">
            <w:pPr>
              <w:spacing w:after="0" w:line="240" w:lineRule="auto"/>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Jujuy</w:t>
            </w:r>
          </w:p>
        </w:tc>
        <w:tc>
          <w:tcPr>
            <w:tcW w:w="995" w:type="dxa"/>
            <w:tcBorders>
              <w:top w:val="nil"/>
              <w:left w:val="nil"/>
              <w:bottom w:val="single" w:sz="4" w:space="0" w:color="auto"/>
              <w:right w:val="single" w:sz="4" w:space="0" w:color="auto"/>
            </w:tcBorders>
            <w:shd w:val="clear" w:color="000000" w:fill="FFFFFF"/>
            <w:noWrap/>
            <w:vAlign w:val="bottom"/>
            <w:hideMark/>
          </w:tcPr>
          <w:p w14:paraId="482412BC"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0,93</w:t>
            </w:r>
          </w:p>
        </w:tc>
        <w:tc>
          <w:tcPr>
            <w:tcW w:w="993" w:type="dxa"/>
            <w:tcBorders>
              <w:top w:val="nil"/>
              <w:left w:val="nil"/>
              <w:bottom w:val="single" w:sz="4" w:space="0" w:color="auto"/>
              <w:right w:val="single" w:sz="4" w:space="0" w:color="auto"/>
            </w:tcBorders>
            <w:shd w:val="clear" w:color="000000" w:fill="FFFFFF"/>
            <w:noWrap/>
            <w:vAlign w:val="bottom"/>
            <w:hideMark/>
          </w:tcPr>
          <w:p w14:paraId="2AEF94B5"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0,82</w:t>
            </w:r>
          </w:p>
        </w:tc>
        <w:tc>
          <w:tcPr>
            <w:tcW w:w="852" w:type="dxa"/>
            <w:tcBorders>
              <w:top w:val="nil"/>
              <w:left w:val="nil"/>
              <w:bottom w:val="single" w:sz="4" w:space="0" w:color="auto"/>
              <w:right w:val="single" w:sz="4" w:space="0" w:color="auto"/>
            </w:tcBorders>
            <w:shd w:val="clear" w:color="000000" w:fill="FFFFFF"/>
            <w:noWrap/>
            <w:vAlign w:val="bottom"/>
            <w:hideMark/>
          </w:tcPr>
          <w:p w14:paraId="4428B87F"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0,79</w:t>
            </w:r>
          </w:p>
        </w:tc>
        <w:tc>
          <w:tcPr>
            <w:tcW w:w="852" w:type="dxa"/>
            <w:tcBorders>
              <w:top w:val="nil"/>
              <w:left w:val="nil"/>
              <w:bottom w:val="single" w:sz="4" w:space="0" w:color="auto"/>
              <w:right w:val="single" w:sz="4" w:space="0" w:color="auto"/>
            </w:tcBorders>
            <w:shd w:val="clear" w:color="000000" w:fill="FFFFFF"/>
            <w:noWrap/>
            <w:vAlign w:val="bottom"/>
            <w:hideMark/>
          </w:tcPr>
          <w:p w14:paraId="693ACAAF"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0,79</w:t>
            </w:r>
          </w:p>
        </w:tc>
        <w:tc>
          <w:tcPr>
            <w:tcW w:w="1135" w:type="dxa"/>
            <w:tcBorders>
              <w:top w:val="nil"/>
              <w:left w:val="nil"/>
              <w:bottom w:val="single" w:sz="4" w:space="0" w:color="auto"/>
              <w:right w:val="single" w:sz="4" w:space="0" w:color="auto"/>
            </w:tcBorders>
            <w:shd w:val="clear" w:color="000000" w:fill="FFFFFF"/>
            <w:noWrap/>
            <w:vAlign w:val="bottom"/>
            <w:hideMark/>
          </w:tcPr>
          <w:p w14:paraId="0F7E80A8"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88,09</w:t>
            </w:r>
          </w:p>
        </w:tc>
        <w:tc>
          <w:tcPr>
            <w:tcW w:w="994" w:type="dxa"/>
            <w:tcBorders>
              <w:top w:val="nil"/>
              <w:left w:val="nil"/>
              <w:bottom w:val="single" w:sz="4" w:space="0" w:color="auto"/>
              <w:right w:val="single" w:sz="4" w:space="0" w:color="auto"/>
            </w:tcBorders>
            <w:shd w:val="clear" w:color="000000" w:fill="FFFFFF"/>
            <w:noWrap/>
            <w:vAlign w:val="bottom"/>
            <w:hideMark/>
          </w:tcPr>
          <w:p w14:paraId="031A61C9"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84,22</w:t>
            </w:r>
          </w:p>
        </w:tc>
        <w:tc>
          <w:tcPr>
            <w:tcW w:w="988" w:type="dxa"/>
            <w:tcBorders>
              <w:top w:val="nil"/>
              <w:left w:val="nil"/>
              <w:bottom w:val="single" w:sz="4" w:space="0" w:color="auto"/>
              <w:right w:val="single" w:sz="4" w:space="0" w:color="auto"/>
            </w:tcBorders>
            <w:shd w:val="clear" w:color="000000" w:fill="FFFFFF"/>
            <w:noWrap/>
            <w:vAlign w:val="bottom"/>
            <w:hideMark/>
          </w:tcPr>
          <w:p w14:paraId="26260AB4"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84,52</w:t>
            </w:r>
          </w:p>
        </w:tc>
      </w:tr>
      <w:tr w:rsidR="00497710" w:rsidRPr="00497710" w14:paraId="09EE8678" w14:textId="77777777" w:rsidTr="00497710">
        <w:trPr>
          <w:trHeight w:val="267"/>
          <w:jc w:val="center"/>
        </w:trPr>
        <w:tc>
          <w:tcPr>
            <w:tcW w:w="2553" w:type="dxa"/>
            <w:tcBorders>
              <w:top w:val="nil"/>
              <w:left w:val="single" w:sz="4" w:space="0" w:color="auto"/>
              <w:bottom w:val="single" w:sz="4" w:space="0" w:color="auto"/>
              <w:right w:val="single" w:sz="4" w:space="0" w:color="auto"/>
            </w:tcBorders>
            <w:shd w:val="clear" w:color="000000" w:fill="FFFFFF"/>
            <w:noWrap/>
            <w:vAlign w:val="center"/>
            <w:hideMark/>
          </w:tcPr>
          <w:p w14:paraId="5C4E1896" w14:textId="77777777" w:rsidR="001E561E" w:rsidRPr="00497710" w:rsidRDefault="001E561E" w:rsidP="005E08AA">
            <w:pPr>
              <w:spacing w:after="0" w:line="240" w:lineRule="auto"/>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La Pampa</w:t>
            </w:r>
          </w:p>
        </w:tc>
        <w:tc>
          <w:tcPr>
            <w:tcW w:w="995" w:type="dxa"/>
            <w:tcBorders>
              <w:top w:val="nil"/>
              <w:left w:val="nil"/>
              <w:bottom w:val="single" w:sz="4" w:space="0" w:color="auto"/>
              <w:right w:val="single" w:sz="4" w:space="0" w:color="auto"/>
            </w:tcBorders>
            <w:shd w:val="clear" w:color="000000" w:fill="FFFFFF"/>
            <w:noWrap/>
            <w:vAlign w:val="bottom"/>
            <w:hideMark/>
          </w:tcPr>
          <w:p w14:paraId="3B122C67"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1,12</w:t>
            </w:r>
          </w:p>
        </w:tc>
        <w:tc>
          <w:tcPr>
            <w:tcW w:w="993" w:type="dxa"/>
            <w:tcBorders>
              <w:top w:val="nil"/>
              <w:left w:val="nil"/>
              <w:bottom w:val="single" w:sz="4" w:space="0" w:color="auto"/>
              <w:right w:val="single" w:sz="4" w:space="0" w:color="auto"/>
            </w:tcBorders>
            <w:shd w:val="clear" w:color="000000" w:fill="FFFFFF"/>
            <w:noWrap/>
            <w:vAlign w:val="bottom"/>
            <w:hideMark/>
          </w:tcPr>
          <w:p w14:paraId="433E3333"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1,01</w:t>
            </w:r>
          </w:p>
        </w:tc>
        <w:tc>
          <w:tcPr>
            <w:tcW w:w="852" w:type="dxa"/>
            <w:tcBorders>
              <w:top w:val="nil"/>
              <w:left w:val="nil"/>
              <w:bottom w:val="single" w:sz="4" w:space="0" w:color="auto"/>
              <w:right w:val="single" w:sz="4" w:space="0" w:color="auto"/>
            </w:tcBorders>
            <w:shd w:val="clear" w:color="000000" w:fill="FFFFFF"/>
            <w:noWrap/>
            <w:vAlign w:val="bottom"/>
            <w:hideMark/>
          </w:tcPr>
          <w:p w14:paraId="443F05D1"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0,80</w:t>
            </w:r>
          </w:p>
        </w:tc>
        <w:tc>
          <w:tcPr>
            <w:tcW w:w="852" w:type="dxa"/>
            <w:tcBorders>
              <w:top w:val="nil"/>
              <w:left w:val="nil"/>
              <w:bottom w:val="single" w:sz="4" w:space="0" w:color="auto"/>
              <w:right w:val="single" w:sz="4" w:space="0" w:color="auto"/>
            </w:tcBorders>
            <w:shd w:val="clear" w:color="000000" w:fill="FFFFFF"/>
            <w:noWrap/>
            <w:vAlign w:val="bottom"/>
            <w:hideMark/>
          </w:tcPr>
          <w:p w14:paraId="40CEF80B"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0,85</w:t>
            </w:r>
          </w:p>
        </w:tc>
        <w:tc>
          <w:tcPr>
            <w:tcW w:w="1135" w:type="dxa"/>
            <w:tcBorders>
              <w:top w:val="nil"/>
              <w:left w:val="nil"/>
              <w:bottom w:val="single" w:sz="4" w:space="0" w:color="auto"/>
              <w:right w:val="single" w:sz="4" w:space="0" w:color="auto"/>
            </w:tcBorders>
            <w:shd w:val="clear" w:color="000000" w:fill="FFFFFF"/>
            <w:noWrap/>
            <w:vAlign w:val="bottom"/>
            <w:hideMark/>
          </w:tcPr>
          <w:p w14:paraId="5F0EA505"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90,39</w:t>
            </w:r>
          </w:p>
        </w:tc>
        <w:tc>
          <w:tcPr>
            <w:tcW w:w="994" w:type="dxa"/>
            <w:tcBorders>
              <w:top w:val="nil"/>
              <w:left w:val="nil"/>
              <w:bottom w:val="single" w:sz="4" w:space="0" w:color="auto"/>
              <w:right w:val="single" w:sz="4" w:space="0" w:color="auto"/>
            </w:tcBorders>
            <w:shd w:val="clear" w:color="000000" w:fill="FFFFFF"/>
            <w:noWrap/>
            <w:vAlign w:val="bottom"/>
            <w:hideMark/>
          </w:tcPr>
          <w:p w14:paraId="4FDDA7A7"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71,34</w:t>
            </w:r>
          </w:p>
        </w:tc>
        <w:tc>
          <w:tcPr>
            <w:tcW w:w="988" w:type="dxa"/>
            <w:tcBorders>
              <w:top w:val="nil"/>
              <w:left w:val="nil"/>
              <w:bottom w:val="single" w:sz="4" w:space="0" w:color="auto"/>
              <w:right w:val="single" w:sz="4" w:space="0" w:color="auto"/>
            </w:tcBorders>
            <w:shd w:val="clear" w:color="000000" w:fill="FFFFFF"/>
            <w:noWrap/>
            <w:vAlign w:val="bottom"/>
            <w:hideMark/>
          </w:tcPr>
          <w:p w14:paraId="05758EA8"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76,06</w:t>
            </w:r>
          </w:p>
        </w:tc>
      </w:tr>
      <w:tr w:rsidR="00497710" w:rsidRPr="00497710" w14:paraId="50781D61" w14:textId="77777777" w:rsidTr="00497710">
        <w:trPr>
          <w:trHeight w:val="267"/>
          <w:jc w:val="center"/>
        </w:trPr>
        <w:tc>
          <w:tcPr>
            <w:tcW w:w="2553" w:type="dxa"/>
            <w:tcBorders>
              <w:top w:val="nil"/>
              <w:left w:val="single" w:sz="4" w:space="0" w:color="auto"/>
              <w:bottom w:val="single" w:sz="4" w:space="0" w:color="auto"/>
              <w:right w:val="single" w:sz="4" w:space="0" w:color="auto"/>
            </w:tcBorders>
            <w:shd w:val="clear" w:color="000000" w:fill="FFFFFF"/>
            <w:noWrap/>
            <w:vAlign w:val="center"/>
            <w:hideMark/>
          </w:tcPr>
          <w:p w14:paraId="1EA96F5B" w14:textId="77777777" w:rsidR="001E561E" w:rsidRPr="00497710" w:rsidRDefault="001E561E" w:rsidP="005E08AA">
            <w:pPr>
              <w:spacing w:after="0" w:line="240" w:lineRule="auto"/>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La Rioja</w:t>
            </w:r>
          </w:p>
        </w:tc>
        <w:tc>
          <w:tcPr>
            <w:tcW w:w="995" w:type="dxa"/>
            <w:tcBorders>
              <w:top w:val="nil"/>
              <w:left w:val="nil"/>
              <w:bottom w:val="single" w:sz="4" w:space="0" w:color="auto"/>
              <w:right w:val="single" w:sz="4" w:space="0" w:color="auto"/>
            </w:tcBorders>
            <w:shd w:val="clear" w:color="000000" w:fill="FFFFFF"/>
            <w:noWrap/>
            <w:vAlign w:val="bottom"/>
            <w:hideMark/>
          </w:tcPr>
          <w:p w14:paraId="6521ADA7"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0,71</w:t>
            </w:r>
          </w:p>
        </w:tc>
        <w:tc>
          <w:tcPr>
            <w:tcW w:w="993" w:type="dxa"/>
            <w:tcBorders>
              <w:top w:val="nil"/>
              <w:left w:val="nil"/>
              <w:bottom w:val="single" w:sz="4" w:space="0" w:color="auto"/>
              <w:right w:val="single" w:sz="4" w:space="0" w:color="auto"/>
            </w:tcBorders>
            <w:shd w:val="clear" w:color="000000" w:fill="FFFFFF"/>
            <w:noWrap/>
            <w:vAlign w:val="bottom"/>
            <w:hideMark/>
          </w:tcPr>
          <w:p w14:paraId="580FD754"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0,75</w:t>
            </w:r>
          </w:p>
        </w:tc>
        <w:tc>
          <w:tcPr>
            <w:tcW w:w="852" w:type="dxa"/>
            <w:tcBorders>
              <w:top w:val="nil"/>
              <w:left w:val="nil"/>
              <w:bottom w:val="single" w:sz="4" w:space="0" w:color="auto"/>
              <w:right w:val="single" w:sz="4" w:space="0" w:color="auto"/>
            </w:tcBorders>
            <w:shd w:val="clear" w:color="000000" w:fill="FFFFFF"/>
            <w:noWrap/>
            <w:vAlign w:val="bottom"/>
            <w:hideMark/>
          </w:tcPr>
          <w:p w14:paraId="72C48E6D"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0,65</w:t>
            </w:r>
          </w:p>
        </w:tc>
        <w:tc>
          <w:tcPr>
            <w:tcW w:w="852" w:type="dxa"/>
            <w:tcBorders>
              <w:top w:val="nil"/>
              <w:left w:val="nil"/>
              <w:bottom w:val="single" w:sz="4" w:space="0" w:color="auto"/>
              <w:right w:val="single" w:sz="4" w:space="0" w:color="auto"/>
            </w:tcBorders>
            <w:shd w:val="clear" w:color="000000" w:fill="FFFFFF"/>
            <w:noWrap/>
            <w:vAlign w:val="bottom"/>
            <w:hideMark/>
          </w:tcPr>
          <w:p w14:paraId="7998CE6D"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0,66</w:t>
            </w:r>
          </w:p>
        </w:tc>
        <w:tc>
          <w:tcPr>
            <w:tcW w:w="1135" w:type="dxa"/>
            <w:tcBorders>
              <w:top w:val="nil"/>
              <w:left w:val="nil"/>
              <w:bottom w:val="single" w:sz="4" w:space="0" w:color="auto"/>
              <w:right w:val="single" w:sz="4" w:space="0" w:color="auto"/>
            </w:tcBorders>
            <w:shd w:val="clear" w:color="000000" w:fill="FFFFFF"/>
            <w:noWrap/>
            <w:vAlign w:val="bottom"/>
            <w:hideMark/>
          </w:tcPr>
          <w:p w14:paraId="76341BEA"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105,68</w:t>
            </w:r>
          </w:p>
        </w:tc>
        <w:tc>
          <w:tcPr>
            <w:tcW w:w="994" w:type="dxa"/>
            <w:tcBorders>
              <w:top w:val="nil"/>
              <w:left w:val="nil"/>
              <w:bottom w:val="single" w:sz="4" w:space="0" w:color="auto"/>
              <w:right w:val="single" w:sz="4" w:space="0" w:color="auto"/>
            </w:tcBorders>
            <w:shd w:val="clear" w:color="000000" w:fill="FFFFFF"/>
            <w:noWrap/>
            <w:vAlign w:val="bottom"/>
            <w:hideMark/>
          </w:tcPr>
          <w:p w14:paraId="481FC4A3"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90,68</w:t>
            </w:r>
          </w:p>
        </w:tc>
        <w:tc>
          <w:tcPr>
            <w:tcW w:w="988" w:type="dxa"/>
            <w:tcBorders>
              <w:top w:val="nil"/>
              <w:left w:val="nil"/>
              <w:bottom w:val="single" w:sz="4" w:space="0" w:color="auto"/>
              <w:right w:val="single" w:sz="4" w:space="0" w:color="auto"/>
            </w:tcBorders>
            <w:shd w:val="clear" w:color="000000" w:fill="FFFFFF"/>
            <w:noWrap/>
            <w:vAlign w:val="bottom"/>
            <w:hideMark/>
          </w:tcPr>
          <w:p w14:paraId="05C778F6"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92,26</w:t>
            </w:r>
          </w:p>
        </w:tc>
      </w:tr>
      <w:tr w:rsidR="00497710" w:rsidRPr="00497710" w14:paraId="4F8AEB5F" w14:textId="77777777" w:rsidTr="00497710">
        <w:trPr>
          <w:trHeight w:val="267"/>
          <w:jc w:val="center"/>
        </w:trPr>
        <w:tc>
          <w:tcPr>
            <w:tcW w:w="2553" w:type="dxa"/>
            <w:tcBorders>
              <w:top w:val="nil"/>
              <w:left w:val="single" w:sz="4" w:space="0" w:color="auto"/>
              <w:bottom w:val="single" w:sz="4" w:space="0" w:color="auto"/>
              <w:right w:val="single" w:sz="4" w:space="0" w:color="auto"/>
            </w:tcBorders>
            <w:shd w:val="clear" w:color="000000" w:fill="FFFFFF"/>
            <w:noWrap/>
            <w:vAlign w:val="center"/>
            <w:hideMark/>
          </w:tcPr>
          <w:p w14:paraId="2B0BEBEE" w14:textId="77777777" w:rsidR="001E561E" w:rsidRPr="00497710" w:rsidRDefault="001E561E" w:rsidP="005E08AA">
            <w:pPr>
              <w:spacing w:after="0" w:line="240" w:lineRule="auto"/>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Mendoza</w:t>
            </w:r>
          </w:p>
        </w:tc>
        <w:tc>
          <w:tcPr>
            <w:tcW w:w="995" w:type="dxa"/>
            <w:tcBorders>
              <w:top w:val="nil"/>
              <w:left w:val="nil"/>
              <w:bottom w:val="single" w:sz="4" w:space="0" w:color="auto"/>
              <w:right w:val="single" w:sz="4" w:space="0" w:color="auto"/>
            </w:tcBorders>
            <w:shd w:val="clear" w:color="000000" w:fill="FFFFFF"/>
            <w:noWrap/>
            <w:vAlign w:val="bottom"/>
            <w:hideMark/>
          </w:tcPr>
          <w:p w14:paraId="0366CD33"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1,33</w:t>
            </w:r>
          </w:p>
        </w:tc>
        <w:tc>
          <w:tcPr>
            <w:tcW w:w="993" w:type="dxa"/>
            <w:tcBorders>
              <w:top w:val="nil"/>
              <w:left w:val="nil"/>
              <w:bottom w:val="single" w:sz="4" w:space="0" w:color="auto"/>
              <w:right w:val="single" w:sz="4" w:space="0" w:color="auto"/>
            </w:tcBorders>
            <w:shd w:val="clear" w:color="000000" w:fill="FFFFFF"/>
            <w:noWrap/>
            <w:vAlign w:val="bottom"/>
            <w:hideMark/>
          </w:tcPr>
          <w:p w14:paraId="19DAD8CC"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0,84</w:t>
            </w:r>
          </w:p>
        </w:tc>
        <w:tc>
          <w:tcPr>
            <w:tcW w:w="852" w:type="dxa"/>
            <w:tcBorders>
              <w:top w:val="nil"/>
              <w:left w:val="nil"/>
              <w:bottom w:val="single" w:sz="4" w:space="0" w:color="auto"/>
              <w:right w:val="single" w:sz="4" w:space="0" w:color="auto"/>
            </w:tcBorders>
            <w:shd w:val="clear" w:color="000000" w:fill="FFFFFF"/>
            <w:noWrap/>
            <w:vAlign w:val="bottom"/>
            <w:hideMark/>
          </w:tcPr>
          <w:p w14:paraId="7BBBD795"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1,14</w:t>
            </w:r>
          </w:p>
        </w:tc>
        <w:tc>
          <w:tcPr>
            <w:tcW w:w="852" w:type="dxa"/>
            <w:tcBorders>
              <w:top w:val="nil"/>
              <w:left w:val="nil"/>
              <w:bottom w:val="single" w:sz="4" w:space="0" w:color="auto"/>
              <w:right w:val="single" w:sz="4" w:space="0" w:color="auto"/>
            </w:tcBorders>
            <w:shd w:val="clear" w:color="000000" w:fill="FFFFFF"/>
            <w:noWrap/>
            <w:vAlign w:val="bottom"/>
            <w:hideMark/>
          </w:tcPr>
          <w:p w14:paraId="704A6849"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1,07</w:t>
            </w:r>
          </w:p>
        </w:tc>
        <w:tc>
          <w:tcPr>
            <w:tcW w:w="1135" w:type="dxa"/>
            <w:tcBorders>
              <w:top w:val="nil"/>
              <w:left w:val="nil"/>
              <w:bottom w:val="single" w:sz="4" w:space="0" w:color="auto"/>
              <w:right w:val="single" w:sz="4" w:space="0" w:color="auto"/>
            </w:tcBorders>
            <w:shd w:val="clear" w:color="000000" w:fill="FFFFFF"/>
            <w:noWrap/>
            <w:vAlign w:val="bottom"/>
            <w:hideMark/>
          </w:tcPr>
          <w:p w14:paraId="718FADC8"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62,89</w:t>
            </w:r>
          </w:p>
        </w:tc>
        <w:tc>
          <w:tcPr>
            <w:tcW w:w="994" w:type="dxa"/>
            <w:tcBorders>
              <w:top w:val="nil"/>
              <w:left w:val="nil"/>
              <w:bottom w:val="single" w:sz="4" w:space="0" w:color="auto"/>
              <w:right w:val="single" w:sz="4" w:space="0" w:color="auto"/>
            </w:tcBorders>
            <w:shd w:val="clear" w:color="000000" w:fill="FFFFFF"/>
            <w:noWrap/>
            <w:vAlign w:val="bottom"/>
            <w:hideMark/>
          </w:tcPr>
          <w:p w14:paraId="300AB5D6"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85,29</w:t>
            </w:r>
          </w:p>
        </w:tc>
        <w:tc>
          <w:tcPr>
            <w:tcW w:w="988" w:type="dxa"/>
            <w:tcBorders>
              <w:top w:val="nil"/>
              <w:left w:val="nil"/>
              <w:bottom w:val="single" w:sz="4" w:space="0" w:color="auto"/>
              <w:right w:val="single" w:sz="4" w:space="0" w:color="auto"/>
            </w:tcBorders>
            <w:shd w:val="clear" w:color="000000" w:fill="FFFFFF"/>
            <w:noWrap/>
            <w:vAlign w:val="bottom"/>
            <w:hideMark/>
          </w:tcPr>
          <w:p w14:paraId="25EEA70A"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80,02</w:t>
            </w:r>
          </w:p>
        </w:tc>
      </w:tr>
      <w:tr w:rsidR="00497710" w:rsidRPr="00497710" w14:paraId="234618B3" w14:textId="77777777" w:rsidTr="00497710">
        <w:trPr>
          <w:trHeight w:val="267"/>
          <w:jc w:val="center"/>
        </w:trPr>
        <w:tc>
          <w:tcPr>
            <w:tcW w:w="2553" w:type="dxa"/>
            <w:tcBorders>
              <w:top w:val="nil"/>
              <w:left w:val="single" w:sz="4" w:space="0" w:color="auto"/>
              <w:bottom w:val="single" w:sz="4" w:space="0" w:color="auto"/>
              <w:right w:val="single" w:sz="4" w:space="0" w:color="auto"/>
            </w:tcBorders>
            <w:shd w:val="clear" w:color="000000" w:fill="FFFFFF"/>
            <w:noWrap/>
            <w:vAlign w:val="center"/>
            <w:hideMark/>
          </w:tcPr>
          <w:p w14:paraId="1F7472F5" w14:textId="77777777" w:rsidR="001E561E" w:rsidRPr="00497710" w:rsidRDefault="001E561E" w:rsidP="005E08AA">
            <w:pPr>
              <w:spacing w:after="0" w:line="240" w:lineRule="auto"/>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Misiones</w:t>
            </w:r>
          </w:p>
        </w:tc>
        <w:tc>
          <w:tcPr>
            <w:tcW w:w="995" w:type="dxa"/>
            <w:tcBorders>
              <w:top w:val="nil"/>
              <w:left w:val="nil"/>
              <w:bottom w:val="single" w:sz="4" w:space="0" w:color="auto"/>
              <w:right w:val="single" w:sz="4" w:space="0" w:color="auto"/>
            </w:tcBorders>
            <w:shd w:val="clear" w:color="000000" w:fill="FFFFFF"/>
            <w:noWrap/>
            <w:vAlign w:val="bottom"/>
            <w:hideMark/>
          </w:tcPr>
          <w:p w14:paraId="516AD381"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0,98</w:t>
            </w:r>
          </w:p>
        </w:tc>
        <w:tc>
          <w:tcPr>
            <w:tcW w:w="993" w:type="dxa"/>
            <w:tcBorders>
              <w:top w:val="nil"/>
              <w:left w:val="nil"/>
              <w:bottom w:val="single" w:sz="4" w:space="0" w:color="auto"/>
              <w:right w:val="single" w:sz="4" w:space="0" w:color="auto"/>
            </w:tcBorders>
            <w:shd w:val="clear" w:color="000000" w:fill="FFFFFF"/>
            <w:noWrap/>
            <w:vAlign w:val="bottom"/>
            <w:hideMark/>
          </w:tcPr>
          <w:p w14:paraId="0A40E60A"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1,31</w:t>
            </w:r>
          </w:p>
        </w:tc>
        <w:tc>
          <w:tcPr>
            <w:tcW w:w="852" w:type="dxa"/>
            <w:tcBorders>
              <w:top w:val="nil"/>
              <w:left w:val="nil"/>
              <w:bottom w:val="single" w:sz="4" w:space="0" w:color="auto"/>
              <w:right w:val="single" w:sz="4" w:space="0" w:color="auto"/>
            </w:tcBorders>
            <w:shd w:val="clear" w:color="000000" w:fill="FFFFFF"/>
            <w:noWrap/>
            <w:vAlign w:val="bottom"/>
            <w:hideMark/>
          </w:tcPr>
          <w:p w14:paraId="76C5CFDE"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1,93</w:t>
            </w:r>
          </w:p>
        </w:tc>
        <w:tc>
          <w:tcPr>
            <w:tcW w:w="852" w:type="dxa"/>
            <w:tcBorders>
              <w:top w:val="nil"/>
              <w:left w:val="nil"/>
              <w:bottom w:val="single" w:sz="4" w:space="0" w:color="auto"/>
              <w:right w:val="single" w:sz="4" w:space="0" w:color="auto"/>
            </w:tcBorders>
            <w:shd w:val="clear" w:color="000000" w:fill="FFFFFF"/>
            <w:noWrap/>
            <w:vAlign w:val="bottom"/>
            <w:hideMark/>
          </w:tcPr>
          <w:p w14:paraId="1DC4675E"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1,70</w:t>
            </w:r>
          </w:p>
        </w:tc>
        <w:tc>
          <w:tcPr>
            <w:tcW w:w="1135" w:type="dxa"/>
            <w:tcBorders>
              <w:top w:val="nil"/>
              <w:left w:val="nil"/>
              <w:bottom w:val="single" w:sz="4" w:space="0" w:color="auto"/>
              <w:right w:val="single" w:sz="4" w:space="0" w:color="auto"/>
            </w:tcBorders>
            <w:shd w:val="clear" w:color="000000" w:fill="FFFFFF"/>
            <w:noWrap/>
            <w:vAlign w:val="bottom"/>
            <w:hideMark/>
          </w:tcPr>
          <w:p w14:paraId="12BE5466"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134,65</w:t>
            </w:r>
          </w:p>
        </w:tc>
        <w:tc>
          <w:tcPr>
            <w:tcW w:w="994" w:type="dxa"/>
            <w:tcBorders>
              <w:top w:val="nil"/>
              <w:left w:val="nil"/>
              <w:bottom w:val="single" w:sz="4" w:space="0" w:color="auto"/>
              <w:right w:val="single" w:sz="4" w:space="0" w:color="auto"/>
            </w:tcBorders>
            <w:shd w:val="clear" w:color="000000" w:fill="FFFFFF"/>
            <w:noWrap/>
            <w:vAlign w:val="bottom"/>
            <w:hideMark/>
          </w:tcPr>
          <w:p w14:paraId="2AB878F7"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197,35</w:t>
            </w:r>
          </w:p>
        </w:tc>
        <w:tc>
          <w:tcPr>
            <w:tcW w:w="988" w:type="dxa"/>
            <w:tcBorders>
              <w:top w:val="nil"/>
              <w:left w:val="nil"/>
              <w:bottom w:val="single" w:sz="4" w:space="0" w:color="auto"/>
              <w:right w:val="single" w:sz="4" w:space="0" w:color="auto"/>
            </w:tcBorders>
            <w:shd w:val="clear" w:color="000000" w:fill="FFFFFF"/>
            <w:noWrap/>
            <w:vAlign w:val="bottom"/>
            <w:hideMark/>
          </w:tcPr>
          <w:p w14:paraId="02056025"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174,62</w:t>
            </w:r>
          </w:p>
        </w:tc>
      </w:tr>
      <w:tr w:rsidR="00497710" w:rsidRPr="00497710" w14:paraId="4499096E" w14:textId="77777777" w:rsidTr="00497710">
        <w:trPr>
          <w:trHeight w:val="267"/>
          <w:jc w:val="center"/>
        </w:trPr>
        <w:tc>
          <w:tcPr>
            <w:tcW w:w="2553" w:type="dxa"/>
            <w:tcBorders>
              <w:top w:val="nil"/>
              <w:left w:val="single" w:sz="4" w:space="0" w:color="auto"/>
              <w:bottom w:val="single" w:sz="4" w:space="0" w:color="auto"/>
              <w:right w:val="single" w:sz="4" w:space="0" w:color="auto"/>
            </w:tcBorders>
            <w:shd w:val="clear" w:color="000000" w:fill="FFFFFF"/>
            <w:noWrap/>
            <w:vAlign w:val="center"/>
            <w:hideMark/>
          </w:tcPr>
          <w:p w14:paraId="532E59C7" w14:textId="77777777" w:rsidR="001E561E" w:rsidRPr="00497710" w:rsidRDefault="001E561E" w:rsidP="005E08AA">
            <w:pPr>
              <w:spacing w:after="0" w:line="240" w:lineRule="auto"/>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Neuquén</w:t>
            </w:r>
          </w:p>
        </w:tc>
        <w:tc>
          <w:tcPr>
            <w:tcW w:w="995" w:type="dxa"/>
            <w:tcBorders>
              <w:top w:val="nil"/>
              <w:left w:val="nil"/>
              <w:bottom w:val="single" w:sz="4" w:space="0" w:color="auto"/>
              <w:right w:val="single" w:sz="4" w:space="0" w:color="auto"/>
            </w:tcBorders>
            <w:shd w:val="clear" w:color="000000" w:fill="FFFFFF"/>
            <w:noWrap/>
            <w:vAlign w:val="bottom"/>
            <w:hideMark/>
          </w:tcPr>
          <w:p w14:paraId="34371477"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0,89</w:t>
            </w:r>
          </w:p>
        </w:tc>
        <w:tc>
          <w:tcPr>
            <w:tcW w:w="993" w:type="dxa"/>
            <w:tcBorders>
              <w:top w:val="nil"/>
              <w:left w:val="nil"/>
              <w:bottom w:val="single" w:sz="4" w:space="0" w:color="auto"/>
              <w:right w:val="single" w:sz="4" w:space="0" w:color="auto"/>
            </w:tcBorders>
            <w:shd w:val="clear" w:color="000000" w:fill="FFFFFF"/>
            <w:noWrap/>
            <w:vAlign w:val="bottom"/>
            <w:hideMark/>
          </w:tcPr>
          <w:p w14:paraId="4018E5A8"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1,11</w:t>
            </w:r>
          </w:p>
        </w:tc>
        <w:tc>
          <w:tcPr>
            <w:tcW w:w="852" w:type="dxa"/>
            <w:tcBorders>
              <w:top w:val="nil"/>
              <w:left w:val="nil"/>
              <w:bottom w:val="single" w:sz="4" w:space="0" w:color="auto"/>
              <w:right w:val="single" w:sz="4" w:space="0" w:color="auto"/>
            </w:tcBorders>
            <w:shd w:val="clear" w:color="000000" w:fill="FFFFFF"/>
            <w:noWrap/>
            <w:vAlign w:val="bottom"/>
            <w:hideMark/>
          </w:tcPr>
          <w:p w14:paraId="162F425D"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1,08</w:t>
            </w:r>
          </w:p>
        </w:tc>
        <w:tc>
          <w:tcPr>
            <w:tcW w:w="852" w:type="dxa"/>
            <w:tcBorders>
              <w:top w:val="nil"/>
              <w:left w:val="nil"/>
              <w:bottom w:val="single" w:sz="4" w:space="0" w:color="auto"/>
              <w:right w:val="single" w:sz="4" w:space="0" w:color="auto"/>
            </w:tcBorders>
            <w:shd w:val="clear" w:color="000000" w:fill="FFFFFF"/>
            <w:noWrap/>
            <w:vAlign w:val="bottom"/>
            <w:hideMark/>
          </w:tcPr>
          <w:p w14:paraId="2E11A594"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1,07</w:t>
            </w:r>
          </w:p>
        </w:tc>
        <w:tc>
          <w:tcPr>
            <w:tcW w:w="1135" w:type="dxa"/>
            <w:tcBorders>
              <w:top w:val="nil"/>
              <w:left w:val="nil"/>
              <w:bottom w:val="single" w:sz="4" w:space="0" w:color="auto"/>
              <w:right w:val="single" w:sz="4" w:space="0" w:color="auto"/>
            </w:tcBorders>
            <w:shd w:val="clear" w:color="000000" w:fill="FFFFFF"/>
            <w:noWrap/>
            <w:vAlign w:val="bottom"/>
            <w:hideMark/>
          </w:tcPr>
          <w:p w14:paraId="7609F6A7"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124,47</w:t>
            </w:r>
          </w:p>
        </w:tc>
        <w:tc>
          <w:tcPr>
            <w:tcW w:w="994" w:type="dxa"/>
            <w:tcBorders>
              <w:top w:val="nil"/>
              <w:left w:val="nil"/>
              <w:bottom w:val="single" w:sz="4" w:space="0" w:color="auto"/>
              <w:right w:val="single" w:sz="4" w:space="0" w:color="auto"/>
            </w:tcBorders>
            <w:shd w:val="clear" w:color="000000" w:fill="FFFFFF"/>
            <w:noWrap/>
            <w:vAlign w:val="bottom"/>
            <w:hideMark/>
          </w:tcPr>
          <w:p w14:paraId="77486757"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121,18</w:t>
            </w:r>
          </w:p>
        </w:tc>
        <w:tc>
          <w:tcPr>
            <w:tcW w:w="988" w:type="dxa"/>
            <w:tcBorders>
              <w:top w:val="nil"/>
              <w:left w:val="nil"/>
              <w:bottom w:val="single" w:sz="4" w:space="0" w:color="auto"/>
              <w:right w:val="single" w:sz="4" w:space="0" w:color="auto"/>
            </w:tcBorders>
            <w:shd w:val="clear" w:color="000000" w:fill="FFFFFF"/>
            <w:noWrap/>
            <w:vAlign w:val="bottom"/>
            <w:hideMark/>
          </w:tcPr>
          <w:p w14:paraId="2FB16C6B"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119,41</w:t>
            </w:r>
          </w:p>
        </w:tc>
      </w:tr>
      <w:tr w:rsidR="00497710" w:rsidRPr="00497710" w14:paraId="363A63E5" w14:textId="77777777" w:rsidTr="00497710">
        <w:trPr>
          <w:trHeight w:val="267"/>
          <w:jc w:val="center"/>
        </w:trPr>
        <w:tc>
          <w:tcPr>
            <w:tcW w:w="2553" w:type="dxa"/>
            <w:tcBorders>
              <w:top w:val="nil"/>
              <w:left w:val="single" w:sz="4" w:space="0" w:color="auto"/>
              <w:bottom w:val="single" w:sz="4" w:space="0" w:color="auto"/>
              <w:right w:val="single" w:sz="4" w:space="0" w:color="auto"/>
            </w:tcBorders>
            <w:shd w:val="clear" w:color="000000" w:fill="FFFFFF"/>
            <w:noWrap/>
            <w:vAlign w:val="center"/>
            <w:hideMark/>
          </w:tcPr>
          <w:p w14:paraId="3E0BA285" w14:textId="77777777" w:rsidR="001E561E" w:rsidRPr="00497710" w:rsidRDefault="001E561E" w:rsidP="005E08AA">
            <w:pPr>
              <w:spacing w:after="0" w:line="240" w:lineRule="auto"/>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Río Negro</w:t>
            </w:r>
          </w:p>
        </w:tc>
        <w:tc>
          <w:tcPr>
            <w:tcW w:w="995" w:type="dxa"/>
            <w:tcBorders>
              <w:top w:val="nil"/>
              <w:left w:val="nil"/>
              <w:bottom w:val="single" w:sz="4" w:space="0" w:color="auto"/>
              <w:right w:val="single" w:sz="4" w:space="0" w:color="auto"/>
            </w:tcBorders>
            <w:shd w:val="clear" w:color="000000" w:fill="FFFFFF"/>
            <w:noWrap/>
            <w:vAlign w:val="bottom"/>
            <w:hideMark/>
          </w:tcPr>
          <w:p w14:paraId="5F668ED3"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1,16</w:t>
            </w:r>
          </w:p>
        </w:tc>
        <w:tc>
          <w:tcPr>
            <w:tcW w:w="993" w:type="dxa"/>
            <w:tcBorders>
              <w:top w:val="nil"/>
              <w:left w:val="nil"/>
              <w:bottom w:val="single" w:sz="4" w:space="0" w:color="auto"/>
              <w:right w:val="single" w:sz="4" w:space="0" w:color="auto"/>
            </w:tcBorders>
            <w:shd w:val="clear" w:color="000000" w:fill="FFFFFF"/>
            <w:noWrap/>
            <w:vAlign w:val="bottom"/>
            <w:hideMark/>
          </w:tcPr>
          <w:p w14:paraId="7C820B91"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1,12</w:t>
            </w:r>
          </w:p>
        </w:tc>
        <w:tc>
          <w:tcPr>
            <w:tcW w:w="852" w:type="dxa"/>
            <w:tcBorders>
              <w:top w:val="nil"/>
              <w:left w:val="nil"/>
              <w:bottom w:val="single" w:sz="4" w:space="0" w:color="auto"/>
              <w:right w:val="single" w:sz="4" w:space="0" w:color="auto"/>
            </w:tcBorders>
            <w:shd w:val="clear" w:color="000000" w:fill="FFFFFF"/>
            <w:noWrap/>
            <w:vAlign w:val="bottom"/>
            <w:hideMark/>
          </w:tcPr>
          <w:p w14:paraId="2402AE7E"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1,09</w:t>
            </w:r>
          </w:p>
        </w:tc>
        <w:tc>
          <w:tcPr>
            <w:tcW w:w="852" w:type="dxa"/>
            <w:tcBorders>
              <w:top w:val="nil"/>
              <w:left w:val="nil"/>
              <w:bottom w:val="single" w:sz="4" w:space="0" w:color="auto"/>
              <w:right w:val="single" w:sz="4" w:space="0" w:color="auto"/>
            </w:tcBorders>
            <w:shd w:val="clear" w:color="000000" w:fill="FFFFFF"/>
            <w:noWrap/>
            <w:vAlign w:val="bottom"/>
            <w:hideMark/>
          </w:tcPr>
          <w:p w14:paraId="15ECD225"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1,06</w:t>
            </w:r>
          </w:p>
        </w:tc>
        <w:tc>
          <w:tcPr>
            <w:tcW w:w="1135" w:type="dxa"/>
            <w:tcBorders>
              <w:top w:val="nil"/>
              <w:left w:val="nil"/>
              <w:bottom w:val="single" w:sz="4" w:space="0" w:color="auto"/>
              <w:right w:val="single" w:sz="4" w:space="0" w:color="auto"/>
            </w:tcBorders>
            <w:shd w:val="clear" w:color="000000" w:fill="FFFFFF"/>
            <w:noWrap/>
            <w:vAlign w:val="bottom"/>
            <w:hideMark/>
          </w:tcPr>
          <w:p w14:paraId="39469C06"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96,69</w:t>
            </w:r>
          </w:p>
        </w:tc>
        <w:tc>
          <w:tcPr>
            <w:tcW w:w="994" w:type="dxa"/>
            <w:tcBorders>
              <w:top w:val="nil"/>
              <w:left w:val="nil"/>
              <w:bottom w:val="single" w:sz="4" w:space="0" w:color="auto"/>
              <w:right w:val="single" w:sz="4" w:space="0" w:color="auto"/>
            </w:tcBorders>
            <w:shd w:val="clear" w:color="000000" w:fill="FFFFFF"/>
            <w:noWrap/>
            <w:vAlign w:val="bottom"/>
            <w:hideMark/>
          </w:tcPr>
          <w:p w14:paraId="64DC7010"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94,25</w:t>
            </w:r>
          </w:p>
        </w:tc>
        <w:tc>
          <w:tcPr>
            <w:tcW w:w="988" w:type="dxa"/>
            <w:tcBorders>
              <w:top w:val="nil"/>
              <w:left w:val="nil"/>
              <w:bottom w:val="single" w:sz="4" w:space="0" w:color="auto"/>
              <w:right w:val="single" w:sz="4" w:space="0" w:color="auto"/>
            </w:tcBorders>
            <w:shd w:val="clear" w:color="000000" w:fill="FFFFFF"/>
            <w:noWrap/>
            <w:vAlign w:val="bottom"/>
            <w:hideMark/>
          </w:tcPr>
          <w:p w14:paraId="77C40680"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91,21</w:t>
            </w:r>
          </w:p>
        </w:tc>
      </w:tr>
      <w:tr w:rsidR="00497710" w:rsidRPr="00497710" w14:paraId="219DF33F" w14:textId="77777777" w:rsidTr="00497710">
        <w:trPr>
          <w:trHeight w:val="267"/>
          <w:jc w:val="center"/>
        </w:trPr>
        <w:tc>
          <w:tcPr>
            <w:tcW w:w="2553" w:type="dxa"/>
            <w:tcBorders>
              <w:top w:val="nil"/>
              <w:left w:val="single" w:sz="4" w:space="0" w:color="auto"/>
              <w:bottom w:val="single" w:sz="4" w:space="0" w:color="auto"/>
              <w:right w:val="single" w:sz="4" w:space="0" w:color="auto"/>
            </w:tcBorders>
            <w:shd w:val="clear" w:color="000000" w:fill="FFFFFF"/>
            <w:noWrap/>
            <w:vAlign w:val="center"/>
            <w:hideMark/>
          </w:tcPr>
          <w:p w14:paraId="79172AB8" w14:textId="77777777" w:rsidR="001E561E" w:rsidRPr="00497710" w:rsidRDefault="001E561E" w:rsidP="005E08AA">
            <w:pPr>
              <w:spacing w:after="0" w:line="240" w:lineRule="auto"/>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Salta</w:t>
            </w:r>
          </w:p>
        </w:tc>
        <w:tc>
          <w:tcPr>
            <w:tcW w:w="995" w:type="dxa"/>
            <w:tcBorders>
              <w:top w:val="nil"/>
              <w:left w:val="nil"/>
              <w:bottom w:val="single" w:sz="4" w:space="0" w:color="auto"/>
              <w:right w:val="single" w:sz="4" w:space="0" w:color="auto"/>
            </w:tcBorders>
            <w:shd w:val="clear" w:color="000000" w:fill="FFFFFF"/>
            <w:noWrap/>
            <w:vAlign w:val="bottom"/>
            <w:hideMark/>
          </w:tcPr>
          <w:p w14:paraId="08CECF94"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1,12</w:t>
            </w:r>
          </w:p>
        </w:tc>
        <w:tc>
          <w:tcPr>
            <w:tcW w:w="993" w:type="dxa"/>
            <w:tcBorders>
              <w:top w:val="nil"/>
              <w:left w:val="nil"/>
              <w:bottom w:val="single" w:sz="4" w:space="0" w:color="auto"/>
              <w:right w:val="single" w:sz="4" w:space="0" w:color="auto"/>
            </w:tcBorders>
            <w:shd w:val="clear" w:color="000000" w:fill="FFFFFF"/>
            <w:noWrap/>
            <w:vAlign w:val="bottom"/>
            <w:hideMark/>
          </w:tcPr>
          <w:p w14:paraId="00FE28A0"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1,26</w:t>
            </w:r>
          </w:p>
        </w:tc>
        <w:tc>
          <w:tcPr>
            <w:tcW w:w="852" w:type="dxa"/>
            <w:tcBorders>
              <w:top w:val="nil"/>
              <w:left w:val="nil"/>
              <w:bottom w:val="single" w:sz="4" w:space="0" w:color="auto"/>
              <w:right w:val="single" w:sz="4" w:space="0" w:color="auto"/>
            </w:tcBorders>
            <w:shd w:val="clear" w:color="000000" w:fill="FFFFFF"/>
            <w:noWrap/>
            <w:vAlign w:val="bottom"/>
            <w:hideMark/>
          </w:tcPr>
          <w:p w14:paraId="31693D05"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0,98</w:t>
            </w:r>
          </w:p>
        </w:tc>
        <w:tc>
          <w:tcPr>
            <w:tcW w:w="852" w:type="dxa"/>
            <w:tcBorders>
              <w:top w:val="nil"/>
              <w:left w:val="nil"/>
              <w:bottom w:val="single" w:sz="4" w:space="0" w:color="auto"/>
              <w:right w:val="single" w:sz="4" w:space="0" w:color="auto"/>
            </w:tcBorders>
            <w:shd w:val="clear" w:color="000000" w:fill="FFFFFF"/>
            <w:noWrap/>
            <w:vAlign w:val="bottom"/>
            <w:hideMark/>
          </w:tcPr>
          <w:p w14:paraId="2D56B9D1"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1,00</w:t>
            </w:r>
          </w:p>
        </w:tc>
        <w:tc>
          <w:tcPr>
            <w:tcW w:w="1135" w:type="dxa"/>
            <w:tcBorders>
              <w:top w:val="nil"/>
              <w:left w:val="nil"/>
              <w:bottom w:val="single" w:sz="4" w:space="0" w:color="auto"/>
              <w:right w:val="single" w:sz="4" w:space="0" w:color="auto"/>
            </w:tcBorders>
            <w:shd w:val="clear" w:color="000000" w:fill="FFFFFF"/>
            <w:noWrap/>
            <w:vAlign w:val="bottom"/>
            <w:hideMark/>
          </w:tcPr>
          <w:p w14:paraId="73235376"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112,54</w:t>
            </w:r>
          </w:p>
        </w:tc>
        <w:tc>
          <w:tcPr>
            <w:tcW w:w="994" w:type="dxa"/>
            <w:tcBorders>
              <w:top w:val="nil"/>
              <w:left w:val="nil"/>
              <w:bottom w:val="single" w:sz="4" w:space="0" w:color="auto"/>
              <w:right w:val="single" w:sz="4" w:space="0" w:color="auto"/>
            </w:tcBorders>
            <w:shd w:val="clear" w:color="000000" w:fill="FFFFFF"/>
            <w:noWrap/>
            <w:vAlign w:val="bottom"/>
            <w:hideMark/>
          </w:tcPr>
          <w:p w14:paraId="2D45D7D5"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86,97</w:t>
            </w:r>
          </w:p>
        </w:tc>
        <w:tc>
          <w:tcPr>
            <w:tcW w:w="988" w:type="dxa"/>
            <w:tcBorders>
              <w:top w:val="nil"/>
              <w:left w:val="nil"/>
              <w:bottom w:val="single" w:sz="4" w:space="0" w:color="auto"/>
              <w:right w:val="single" w:sz="4" w:space="0" w:color="auto"/>
            </w:tcBorders>
            <w:shd w:val="clear" w:color="000000" w:fill="FFFFFF"/>
            <w:noWrap/>
            <w:vAlign w:val="bottom"/>
            <w:hideMark/>
          </w:tcPr>
          <w:p w14:paraId="6B75CF48"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89,28</w:t>
            </w:r>
          </w:p>
        </w:tc>
      </w:tr>
      <w:tr w:rsidR="00497710" w:rsidRPr="00497710" w14:paraId="61BCD66A" w14:textId="77777777" w:rsidTr="00497710">
        <w:trPr>
          <w:trHeight w:val="267"/>
          <w:jc w:val="center"/>
        </w:trPr>
        <w:tc>
          <w:tcPr>
            <w:tcW w:w="2553" w:type="dxa"/>
            <w:tcBorders>
              <w:top w:val="nil"/>
              <w:left w:val="single" w:sz="4" w:space="0" w:color="auto"/>
              <w:bottom w:val="single" w:sz="4" w:space="0" w:color="auto"/>
              <w:right w:val="single" w:sz="4" w:space="0" w:color="auto"/>
            </w:tcBorders>
            <w:shd w:val="clear" w:color="000000" w:fill="FFFFFF"/>
            <w:noWrap/>
            <w:vAlign w:val="center"/>
            <w:hideMark/>
          </w:tcPr>
          <w:p w14:paraId="4389758E" w14:textId="77777777" w:rsidR="001E561E" w:rsidRPr="00497710" w:rsidRDefault="001E561E" w:rsidP="005E08AA">
            <w:pPr>
              <w:spacing w:after="0" w:line="240" w:lineRule="auto"/>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San Juan</w:t>
            </w:r>
          </w:p>
        </w:tc>
        <w:tc>
          <w:tcPr>
            <w:tcW w:w="995" w:type="dxa"/>
            <w:tcBorders>
              <w:top w:val="nil"/>
              <w:left w:val="nil"/>
              <w:bottom w:val="single" w:sz="4" w:space="0" w:color="auto"/>
              <w:right w:val="single" w:sz="4" w:space="0" w:color="auto"/>
            </w:tcBorders>
            <w:shd w:val="clear" w:color="000000" w:fill="FFFFFF"/>
            <w:noWrap/>
            <w:vAlign w:val="bottom"/>
            <w:hideMark/>
          </w:tcPr>
          <w:p w14:paraId="0B6F8EDF"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0,72</w:t>
            </w:r>
          </w:p>
        </w:tc>
        <w:tc>
          <w:tcPr>
            <w:tcW w:w="993" w:type="dxa"/>
            <w:tcBorders>
              <w:top w:val="nil"/>
              <w:left w:val="nil"/>
              <w:bottom w:val="single" w:sz="4" w:space="0" w:color="auto"/>
              <w:right w:val="single" w:sz="4" w:space="0" w:color="auto"/>
            </w:tcBorders>
            <w:shd w:val="clear" w:color="000000" w:fill="FFFFFF"/>
            <w:noWrap/>
            <w:vAlign w:val="bottom"/>
            <w:hideMark/>
          </w:tcPr>
          <w:p w14:paraId="51C8C306"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1,07</w:t>
            </w:r>
          </w:p>
        </w:tc>
        <w:tc>
          <w:tcPr>
            <w:tcW w:w="852" w:type="dxa"/>
            <w:tcBorders>
              <w:top w:val="nil"/>
              <w:left w:val="nil"/>
              <w:bottom w:val="single" w:sz="4" w:space="0" w:color="auto"/>
              <w:right w:val="single" w:sz="4" w:space="0" w:color="auto"/>
            </w:tcBorders>
            <w:shd w:val="clear" w:color="000000" w:fill="FFFFFF"/>
            <w:noWrap/>
            <w:vAlign w:val="bottom"/>
            <w:hideMark/>
          </w:tcPr>
          <w:p w14:paraId="1DEE97FF"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0,85</w:t>
            </w:r>
          </w:p>
        </w:tc>
        <w:tc>
          <w:tcPr>
            <w:tcW w:w="852" w:type="dxa"/>
            <w:tcBorders>
              <w:top w:val="nil"/>
              <w:left w:val="nil"/>
              <w:bottom w:val="single" w:sz="4" w:space="0" w:color="auto"/>
              <w:right w:val="single" w:sz="4" w:space="0" w:color="auto"/>
            </w:tcBorders>
            <w:shd w:val="clear" w:color="000000" w:fill="FFFFFF"/>
            <w:noWrap/>
            <w:vAlign w:val="bottom"/>
            <w:hideMark/>
          </w:tcPr>
          <w:p w14:paraId="6549CACE"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0,95</w:t>
            </w:r>
          </w:p>
        </w:tc>
        <w:tc>
          <w:tcPr>
            <w:tcW w:w="1135" w:type="dxa"/>
            <w:tcBorders>
              <w:top w:val="nil"/>
              <w:left w:val="nil"/>
              <w:bottom w:val="single" w:sz="4" w:space="0" w:color="auto"/>
              <w:right w:val="single" w:sz="4" w:space="0" w:color="auto"/>
            </w:tcBorders>
            <w:shd w:val="clear" w:color="000000" w:fill="FFFFFF"/>
            <w:noWrap/>
            <w:vAlign w:val="bottom"/>
            <w:hideMark/>
          </w:tcPr>
          <w:p w14:paraId="5AF63160"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147,41</w:t>
            </w:r>
          </w:p>
        </w:tc>
        <w:tc>
          <w:tcPr>
            <w:tcW w:w="994" w:type="dxa"/>
            <w:tcBorders>
              <w:top w:val="nil"/>
              <w:left w:val="nil"/>
              <w:bottom w:val="single" w:sz="4" w:space="0" w:color="auto"/>
              <w:right w:val="single" w:sz="4" w:space="0" w:color="auto"/>
            </w:tcBorders>
            <w:shd w:val="clear" w:color="000000" w:fill="FFFFFF"/>
            <w:noWrap/>
            <w:vAlign w:val="bottom"/>
            <w:hideMark/>
          </w:tcPr>
          <w:p w14:paraId="31D12956"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117,50</w:t>
            </w:r>
          </w:p>
        </w:tc>
        <w:tc>
          <w:tcPr>
            <w:tcW w:w="988" w:type="dxa"/>
            <w:tcBorders>
              <w:top w:val="nil"/>
              <w:left w:val="nil"/>
              <w:bottom w:val="single" w:sz="4" w:space="0" w:color="auto"/>
              <w:right w:val="single" w:sz="4" w:space="0" w:color="auto"/>
            </w:tcBorders>
            <w:shd w:val="clear" w:color="000000" w:fill="FFFFFF"/>
            <w:noWrap/>
            <w:vAlign w:val="bottom"/>
            <w:hideMark/>
          </w:tcPr>
          <w:p w14:paraId="402B8C94"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130,68</w:t>
            </w:r>
          </w:p>
        </w:tc>
      </w:tr>
      <w:tr w:rsidR="00497710" w:rsidRPr="00497710" w14:paraId="6649EBAF" w14:textId="77777777" w:rsidTr="00497710">
        <w:trPr>
          <w:trHeight w:val="267"/>
          <w:jc w:val="center"/>
        </w:trPr>
        <w:tc>
          <w:tcPr>
            <w:tcW w:w="2553" w:type="dxa"/>
            <w:tcBorders>
              <w:top w:val="nil"/>
              <w:left w:val="single" w:sz="4" w:space="0" w:color="auto"/>
              <w:bottom w:val="single" w:sz="4" w:space="0" w:color="auto"/>
              <w:right w:val="single" w:sz="4" w:space="0" w:color="auto"/>
            </w:tcBorders>
            <w:shd w:val="clear" w:color="000000" w:fill="FFFFFF"/>
            <w:noWrap/>
            <w:vAlign w:val="center"/>
            <w:hideMark/>
          </w:tcPr>
          <w:p w14:paraId="247A99BE" w14:textId="77777777" w:rsidR="001E561E" w:rsidRPr="00497710" w:rsidRDefault="001E561E" w:rsidP="005E08AA">
            <w:pPr>
              <w:spacing w:after="0" w:line="240" w:lineRule="auto"/>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San Luis</w:t>
            </w:r>
          </w:p>
        </w:tc>
        <w:tc>
          <w:tcPr>
            <w:tcW w:w="995" w:type="dxa"/>
            <w:tcBorders>
              <w:top w:val="nil"/>
              <w:left w:val="nil"/>
              <w:bottom w:val="single" w:sz="4" w:space="0" w:color="auto"/>
              <w:right w:val="single" w:sz="4" w:space="0" w:color="auto"/>
            </w:tcBorders>
            <w:shd w:val="clear" w:color="000000" w:fill="FFFFFF"/>
            <w:noWrap/>
            <w:vAlign w:val="bottom"/>
            <w:hideMark/>
          </w:tcPr>
          <w:p w14:paraId="0E68E3D2"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0,98</w:t>
            </w:r>
          </w:p>
        </w:tc>
        <w:tc>
          <w:tcPr>
            <w:tcW w:w="993" w:type="dxa"/>
            <w:tcBorders>
              <w:top w:val="nil"/>
              <w:left w:val="nil"/>
              <w:bottom w:val="single" w:sz="4" w:space="0" w:color="auto"/>
              <w:right w:val="single" w:sz="4" w:space="0" w:color="auto"/>
            </w:tcBorders>
            <w:shd w:val="clear" w:color="000000" w:fill="FFFFFF"/>
            <w:noWrap/>
            <w:vAlign w:val="bottom"/>
            <w:hideMark/>
          </w:tcPr>
          <w:p w14:paraId="68F8A1F0"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1,03</w:t>
            </w:r>
          </w:p>
        </w:tc>
        <w:tc>
          <w:tcPr>
            <w:tcW w:w="852" w:type="dxa"/>
            <w:tcBorders>
              <w:top w:val="nil"/>
              <w:left w:val="nil"/>
              <w:bottom w:val="single" w:sz="4" w:space="0" w:color="auto"/>
              <w:right w:val="single" w:sz="4" w:space="0" w:color="auto"/>
            </w:tcBorders>
            <w:shd w:val="clear" w:color="000000" w:fill="FFFFFF"/>
            <w:noWrap/>
            <w:vAlign w:val="bottom"/>
            <w:hideMark/>
          </w:tcPr>
          <w:p w14:paraId="25696C4D"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0,91</w:t>
            </w:r>
          </w:p>
        </w:tc>
        <w:tc>
          <w:tcPr>
            <w:tcW w:w="852" w:type="dxa"/>
            <w:tcBorders>
              <w:top w:val="nil"/>
              <w:left w:val="nil"/>
              <w:bottom w:val="single" w:sz="4" w:space="0" w:color="auto"/>
              <w:right w:val="single" w:sz="4" w:space="0" w:color="auto"/>
            </w:tcBorders>
            <w:shd w:val="clear" w:color="000000" w:fill="FFFFFF"/>
            <w:noWrap/>
            <w:vAlign w:val="bottom"/>
            <w:hideMark/>
          </w:tcPr>
          <w:p w14:paraId="586C7FF7"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0,99</w:t>
            </w:r>
          </w:p>
        </w:tc>
        <w:tc>
          <w:tcPr>
            <w:tcW w:w="1135" w:type="dxa"/>
            <w:tcBorders>
              <w:top w:val="nil"/>
              <w:left w:val="nil"/>
              <w:bottom w:val="single" w:sz="4" w:space="0" w:color="auto"/>
              <w:right w:val="single" w:sz="4" w:space="0" w:color="auto"/>
            </w:tcBorders>
            <w:shd w:val="clear" w:color="000000" w:fill="FFFFFF"/>
            <w:noWrap/>
            <w:vAlign w:val="bottom"/>
            <w:hideMark/>
          </w:tcPr>
          <w:p w14:paraId="55761732"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104,75</w:t>
            </w:r>
          </w:p>
        </w:tc>
        <w:tc>
          <w:tcPr>
            <w:tcW w:w="994" w:type="dxa"/>
            <w:tcBorders>
              <w:top w:val="nil"/>
              <w:left w:val="nil"/>
              <w:bottom w:val="single" w:sz="4" w:space="0" w:color="auto"/>
              <w:right w:val="single" w:sz="4" w:space="0" w:color="auto"/>
            </w:tcBorders>
            <w:shd w:val="clear" w:color="000000" w:fill="FFFFFF"/>
            <w:noWrap/>
            <w:vAlign w:val="bottom"/>
            <w:hideMark/>
          </w:tcPr>
          <w:p w14:paraId="2E64CBA8"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93,18</w:t>
            </w:r>
          </w:p>
        </w:tc>
        <w:tc>
          <w:tcPr>
            <w:tcW w:w="988" w:type="dxa"/>
            <w:tcBorders>
              <w:top w:val="nil"/>
              <w:left w:val="nil"/>
              <w:bottom w:val="single" w:sz="4" w:space="0" w:color="auto"/>
              <w:right w:val="single" w:sz="4" w:space="0" w:color="auto"/>
            </w:tcBorders>
            <w:shd w:val="clear" w:color="000000" w:fill="FFFFFF"/>
            <w:noWrap/>
            <w:vAlign w:val="bottom"/>
            <w:hideMark/>
          </w:tcPr>
          <w:p w14:paraId="6BE5B47C"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100,45</w:t>
            </w:r>
          </w:p>
        </w:tc>
      </w:tr>
      <w:tr w:rsidR="00497710" w:rsidRPr="00497710" w14:paraId="3B2F88C1" w14:textId="77777777" w:rsidTr="00497710">
        <w:trPr>
          <w:trHeight w:val="267"/>
          <w:jc w:val="center"/>
        </w:trPr>
        <w:tc>
          <w:tcPr>
            <w:tcW w:w="2553" w:type="dxa"/>
            <w:tcBorders>
              <w:top w:val="nil"/>
              <w:left w:val="single" w:sz="4" w:space="0" w:color="auto"/>
              <w:bottom w:val="single" w:sz="4" w:space="0" w:color="auto"/>
              <w:right w:val="single" w:sz="4" w:space="0" w:color="auto"/>
            </w:tcBorders>
            <w:shd w:val="clear" w:color="000000" w:fill="FFFFFF"/>
            <w:noWrap/>
            <w:vAlign w:val="center"/>
            <w:hideMark/>
          </w:tcPr>
          <w:p w14:paraId="3CE3957B" w14:textId="77777777" w:rsidR="001E561E" w:rsidRPr="00497710" w:rsidRDefault="001E561E" w:rsidP="005E08AA">
            <w:pPr>
              <w:spacing w:after="0" w:line="240" w:lineRule="auto"/>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Santa Cruz</w:t>
            </w:r>
          </w:p>
        </w:tc>
        <w:tc>
          <w:tcPr>
            <w:tcW w:w="995" w:type="dxa"/>
            <w:tcBorders>
              <w:top w:val="nil"/>
              <w:left w:val="nil"/>
              <w:bottom w:val="single" w:sz="4" w:space="0" w:color="auto"/>
              <w:right w:val="single" w:sz="4" w:space="0" w:color="auto"/>
            </w:tcBorders>
            <w:shd w:val="clear" w:color="000000" w:fill="FFFFFF"/>
            <w:noWrap/>
            <w:vAlign w:val="bottom"/>
            <w:hideMark/>
          </w:tcPr>
          <w:p w14:paraId="01EA61A9"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0,88</w:t>
            </w:r>
          </w:p>
        </w:tc>
        <w:tc>
          <w:tcPr>
            <w:tcW w:w="993" w:type="dxa"/>
            <w:tcBorders>
              <w:top w:val="nil"/>
              <w:left w:val="nil"/>
              <w:bottom w:val="single" w:sz="4" w:space="0" w:color="auto"/>
              <w:right w:val="single" w:sz="4" w:space="0" w:color="auto"/>
            </w:tcBorders>
            <w:shd w:val="clear" w:color="000000" w:fill="FFFFFF"/>
            <w:noWrap/>
            <w:vAlign w:val="bottom"/>
            <w:hideMark/>
          </w:tcPr>
          <w:p w14:paraId="17B138EF"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0,93</w:t>
            </w:r>
          </w:p>
        </w:tc>
        <w:tc>
          <w:tcPr>
            <w:tcW w:w="852" w:type="dxa"/>
            <w:tcBorders>
              <w:top w:val="nil"/>
              <w:left w:val="nil"/>
              <w:bottom w:val="single" w:sz="4" w:space="0" w:color="auto"/>
              <w:right w:val="single" w:sz="4" w:space="0" w:color="auto"/>
            </w:tcBorders>
            <w:shd w:val="clear" w:color="000000" w:fill="FFFFFF"/>
            <w:noWrap/>
            <w:vAlign w:val="bottom"/>
            <w:hideMark/>
          </w:tcPr>
          <w:p w14:paraId="04E1E692"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1,03</w:t>
            </w:r>
          </w:p>
        </w:tc>
        <w:tc>
          <w:tcPr>
            <w:tcW w:w="852" w:type="dxa"/>
            <w:tcBorders>
              <w:top w:val="nil"/>
              <w:left w:val="nil"/>
              <w:bottom w:val="single" w:sz="4" w:space="0" w:color="auto"/>
              <w:right w:val="single" w:sz="4" w:space="0" w:color="auto"/>
            </w:tcBorders>
            <w:shd w:val="clear" w:color="000000" w:fill="FFFFFF"/>
            <w:noWrap/>
            <w:vAlign w:val="bottom"/>
            <w:hideMark/>
          </w:tcPr>
          <w:p w14:paraId="69572CED"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0,96</w:t>
            </w:r>
          </w:p>
        </w:tc>
        <w:tc>
          <w:tcPr>
            <w:tcW w:w="1135" w:type="dxa"/>
            <w:tcBorders>
              <w:top w:val="nil"/>
              <w:left w:val="nil"/>
              <w:bottom w:val="single" w:sz="4" w:space="0" w:color="auto"/>
              <w:right w:val="single" w:sz="4" w:space="0" w:color="auto"/>
            </w:tcBorders>
            <w:shd w:val="clear" w:color="000000" w:fill="FFFFFF"/>
            <w:noWrap/>
            <w:vAlign w:val="bottom"/>
            <w:hideMark/>
          </w:tcPr>
          <w:p w14:paraId="506381A6"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106,50</w:t>
            </w:r>
          </w:p>
        </w:tc>
        <w:tc>
          <w:tcPr>
            <w:tcW w:w="994" w:type="dxa"/>
            <w:tcBorders>
              <w:top w:val="nil"/>
              <w:left w:val="nil"/>
              <w:bottom w:val="single" w:sz="4" w:space="0" w:color="auto"/>
              <w:right w:val="single" w:sz="4" w:space="0" w:color="auto"/>
            </w:tcBorders>
            <w:shd w:val="clear" w:color="000000" w:fill="FFFFFF"/>
            <w:noWrap/>
            <w:vAlign w:val="bottom"/>
            <w:hideMark/>
          </w:tcPr>
          <w:p w14:paraId="14719952"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117,92</w:t>
            </w:r>
          </w:p>
        </w:tc>
        <w:tc>
          <w:tcPr>
            <w:tcW w:w="988" w:type="dxa"/>
            <w:tcBorders>
              <w:top w:val="nil"/>
              <w:left w:val="nil"/>
              <w:bottom w:val="single" w:sz="4" w:space="0" w:color="auto"/>
              <w:right w:val="single" w:sz="4" w:space="0" w:color="auto"/>
            </w:tcBorders>
            <w:shd w:val="clear" w:color="000000" w:fill="FFFFFF"/>
            <w:noWrap/>
            <w:vAlign w:val="bottom"/>
            <w:hideMark/>
          </w:tcPr>
          <w:p w14:paraId="6513945C"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109,02</w:t>
            </w:r>
          </w:p>
        </w:tc>
      </w:tr>
      <w:tr w:rsidR="00497710" w:rsidRPr="00497710" w14:paraId="237E90E7" w14:textId="77777777" w:rsidTr="00497710">
        <w:trPr>
          <w:trHeight w:val="267"/>
          <w:jc w:val="center"/>
        </w:trPr>
        <w:tc>
          <w:tcPr>
            <w:tcW w:w="2553" w:type="dxa"/>
            <w:tcBorders>
              <w:top w:val="nil"/>
              <w:left w:val="single" w:sz="4" w:space="0" w:color="auto"/>
              <w:bottom w:val="single" w:sz="4" w:space="0" w:color="auto"/>
              <w:right w:val="single" w:sz="4" w:space="0" w:color="auto"/>
            </w:tcBorders>
            <w:shd w:val="clear" w:color="000000" w:fill="FFFFFF"/>
            <w:noWrap/>
            <w:vAlign w:val="center"/>
            <w:hideMark/>
          </w:tcPr>
          <w:p w14:paraId="299E2D34" w14:textId="77777777" w:rsidR="001E561E" w:rsidRPr="00497710" w:rsidRDefault="001E561E" w:rsidP="005E08AA">
            <w:pPr>
              <w:spacing w:after="0" w:line="240" w:lineRule="auto"/>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Santa Fe</w:t>
            </w:r>
          </w:p>
        </w:tc>
        <w:tc>
          <w:tcPr>
            <w:tcW w:w="995" w:type="dxa"/>
            <w:tcBorders>
              <w:top w:val="nil"/>
              <w:left w:val="nil"/>
              <w:bottom w:val="single" w:sz="4" w:space="0" w:color="auto"/>
              <w:right w:val="single" w:sz="4" w:space="0" w:color="auto"/>
            </w:tcBorders>
            <w:shd w:val="clear" w:color="000000" w:fill="FFFFFF"/>
            <w:noWrap/>
            <w:vAlign w:val="bottom"/>
            <w:hideMark/>
          </w:tcPr>
          <w:p w14:paraId="3438FC9B"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1,26</w:t>
            </w:r>
          </w:p>
        </w:tc>
        <w:tc>
          <w:tcPr>
            <w:tcW w:w="993" w:type="dxa"/>
            <w:tcBorders>
              <w:top w:val="nil"/>
              <w:left w:val="nil"/>
              <w:bottom w:val="single" w:sz="4" w:space="0" w:color="auto"/>
              <w:right w:val="single" w:sz="4" w:space="0" w:color="auto"/>
            </w:tcBorders>
            <w:shd w:val="clear" w:color="000000" w:fill="FFFFFF"/>
            <w:noWrap/>
            <w:vAlign w:val="bottom"/>
            <w:hideMark/>
          </w:tcPr>
          <w:p w14:paraId="093FA28D"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1,07</w:t>
            </w:r>
          </w:p>
        </w:tc>
        <w:tc>
          <w:tcPr>
            <w:tcW w:w="852" w:type="dxa"/>
            <w:tcBorders>
              <w:top w:val="nil"/>
              <w:left w:val="nil"/>
              <w:bottom w:val="single" w:sz="4" w:space="0" w:color="auto"/>
              <w:right w:val="single" w:sz="4" w:space="0" w:color="auto"/>
            </w:tcBorders>
            <w:shd w:val="clear" w:color="000000" w:fill="FFFFFF"/>
            <w:noWrap/>
            <w:vAlign w:val="bottom"/>
            <w:hideMark/>
          </w:tcPr>
          <w:p w14:paraId="694B9F56"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0,99</w:t>
            </w:r>
          </w:p>
        </w:tc>
        <w:tc>
          <w:tcPr>
            <w:tcW w:w="852" w:type="dxa"/>
            <w:tcBorders>
              <w:top w:val="nil"/>
              <w:left w:val="nil"/>
              <w:bottom w:val="single" w:sz="4" w:space="0" w:color="auto"/>
              <w:right w:val="single" w:sz="4" w:space="0" w:color="auto"/>
            </w:tcBorders>
            <w:shd w:val="clear" w:color="000000" w:fill="FFFFFF"/>
            <w:noWrap/>
            <w:vAlign w:val="bottom"/>
            <w:hideMark/>
          </w:tcPr>
          <w:p w14:paraId="152C9537"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1,03</w:t>
            </w:r>
          </w:p>
        </w:tc>
        <w:tc>
          <w:tcPr>
            <w:tcW w:w="1135" w:type="dxa"/>
            <w:tcBorders>
              <w:top w:val="nil"/>
              <w:left w:val="nil"/>
              <w:bottom w:val="single" w:sz="4" w:space="0" w:color="auto"/>
              <w:right w:val="single" w:sz="4" w:space="0" w:color="auto"/>
            </w:tcBorders>
            <w:shd w:val="clear" w:color="000000" w:fill="FFFFFF"/>
            <w:noWrap/>
            <w:vAlign w:val="bottom"/>
            <w:hideMark/>
          </w:tcPr>
          <w:p w14:paraId="6A6512D4"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84,73</w:t>
            </w:r>
          </w:p>
        </w:tc>
        <w:tc>
          <w:tcPr>
            <w:tcW w:w="994" w:type="dxa"/>
            <w:tcBorders>
              <w:top w:val="nil"/>
              <w:left w:val="nil"/>
              <w:bottom w:val="single" w:sz="4" w:space="0" w:color="auto"/>
              <w:right w:val="single" w:sz="4" w:space="0" w:color="auto"/>
            </w:tcBorders>
            <w:shd w:val="clear" w:color="000000" w:fill="FFFFFF"/>
            <w:noWrap/>
            <w:vAlign w:val="bottom"/>
            <w:hideMark/>
          </w:tcPr>
          <w:p w14:paraId="42904387"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78,64</w:t>
            </w:r>
          </w:p>
        </w:tc>
        <w:tc>
          <w:tcPr>
            <w:tcW w:w="988" w:type="dxa"/>
            <w:tcBorders>
              <w:top w:val="nil"/>
              <w:left w:val="nil"/>
              <w:bottom w:val="single" w:sz="4" w:space="0" w:color="auto"/>
              <w:right w:val="single" w:sz="4" w:space="0" w:color="auto"/>
            </w:tcBorders>
            <w:shd w:val="clear" w:color="000000" w:fill="FFFFFF"/>
            <w:noWrap/>
            <w:vAlign w:val="bottom"/>
            <w:hideMark/>
          </w:tcPr>
          <w:p w14:paraId="337B7D31"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81,37</w:t>
            </w:r>
          </w:p>
        </w:tc>
      </w:tr>
      <w:tr w:rsidR="00497710" w:rsidRPr="00497710" w14:paraId="1D2F60F4" w14:textId="77777777" w:rsidTr="00497710">
        <w:trPr>
          <w:trHeight w:val="267"/>
          <w:jc w:val="center"/>
        </w:trPr>
        <w:tc>
          <w:tcPr>
            <w:tcW w:w="2553" w:type="dxa"/>
            <w:tcBorders>
              <w:top w:val="nil"/>
              <w:left w:val="single" w:sz="4" w:space="0" w:color="auto"/>
              <w:bottom w:val="single" w:sz="4" w:space="0" w:color="auto"/>
              <w:right w:val="single" w:sz="4" w:space="0" w:color="auto"/>
            </w:tcBorders>
            <w:shd w:val="clear" w:color="000000" w:fill="FFFFFF"/>
            <w:noWrap/>
            <w:vAlign w:val="center"/>
            <w:hideMark/>
          </w:tcPr>
          <w:p w14:paraId="4989A810" w14:textId="77777777" w:rsidR="001E561E" w:rsidRPr="00497710" w:rsidRDefault="001E561E" w:rsidP="005E08AA">
            <w:pPr>
              <w:spacing w:after="0" w:line="240" w:lineRule="auto"/>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Santiago del Estero</w:t>
            </w:r>
          </w:p>
        </w:tc>
        <w:tc>
          <w:tcPr>
            <w:tcW w:w="995" w:type="dxa"/>
            <w:tcBorders>
              <w:top w:val="nil"/>
              <w:left w:val="nil"/>
              <w:bottom w:val="single" w:sz="4" w:space="0" w:color="auto"/>
              <w:right w:val="single" w:sz="4" w:space="0" w:color="auto"/>
            </w:tcBorders>
            <w:shd w:val="clear" w:color="000000" w:fill="FFFFFF"/>
            <w:noWrap/>
            <w:vAlign w:val="bottom"/>
            <w:hideMark/>
          </w:tcPr>
          <w:p w14:paraId="410145DA"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0,70</w:t>
            </w:r>
          </w:p>
        </w:tc>
        <w:tc>
          <w:tcPr>
            <w:tcW w:w="993" w:type="dxa"/>
            <w:tcBorders>
              <w:top w:val="nil"/>
              <w:left w:val="nil"/>
              <w:bottom w:val="single" w:sz="4" w:space="0" w:color="auto"/>
              <w:right w:val="single" w:sz="4" w:space="0" w:color="auto"/>
            </w:tcBorders>
            <w:shd w:val="clear" w:color="000000" w:fill="FFFFFF"/>
            <w:noWrap/>
            <w:vAlign w:val="bottom"/>
            <w:hideMark/>
          </w:tcPr>
          <w:p w14:paraId="68E1A671"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0,84</w:t>
            </w:r>
          </w:p>
        </w:tc>
        <w:tc>
          <w:tcPr>
            <w:tcW w:w="852" w:type="dxa"/>
            <w:tcBorders>
              <w:top w:val="nil"/>
              <w:left w:val="nil"/>
              <w:bottom w:val="single" w:sz="4" w:space="0" w:color="auto"/>
              <w:right w:val="single" w:sz="4" w:space="0" w:color="auto"/>
            </w:tcBorders>
            <w:shd w:val="clear" w:color="000000" w:fill="FFFFFF"/>
            <w:noWrap/>
            <w:vAlign w:val="bottom"/>
            <w:hideMark/>
          </w:tcPr>
          <w:p w14:paraId="33BB2C9F"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0,62</w:t>
            </w:r>
          </w:p>
        </w:tc>
        <w:tc>
          <w:tcPr>
            <w:tcW w:w="852" w:type="dxa"/>
            <w:tcBorders>
              <w:top w:val="nil"/>
              <w:left w:val="nil"/>
              <w:bottom w:val="single" w:sz="4" w:space="0" w:color="auto"/>
              <w:right w:val="single" w:sz="4" w:space="0" w:color="auto"/>
            </w:tcBorders>
            <w:shd w:val="clear" w:color="000000" w:fill="FFFFFF"/>
            <w:noWrap/>
            <w:vAlign w:val="bottom"/>
            <w:hideMark/>
          </w:tcPr>
          <w:p w14:paraId="2EAB94FF"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0,66</w:t>
            </w:r>
          </w:p>
        </w:tc>
        <w:tc>
          <w:tcPr>
            <w:tcW w:w="1135" w:type="dxa"/>
            <w:tcBorders>
              <w:top w:val="nil"/>
              <w:left w:val="nil"/>
              <w:bottom w:val="single" w:sz="4" w:space="0" w:color="auto"/>
              <w:right w:val="single" w:sz="4" w:space="0" w:color="auto"/>
            </w:tcBorders>
            <w:shd w:val="clear" w:color="000000" w:fill="FFFFFF"/>
            <w:noWrap/>
            <w:vAlign w:val="bottom"/>
            <w:hideMark/>
          </w:tcPr>
          <w:p w14:paraId="077FCE2F"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120,17</w:t>
            </w:r>
          </w:p>
        </w:tc>
        <w:tc>
          <w:tcPr>
            <w:tcW w:w="994" w:type="dxa"/>
            <w:tcBorders>
              <w:top w:val="nil"/>
              <w:left w:val="nil"/>
              <w:bottom w:val="single" w:sz="4" w:space="0" w:color="auto"/>
              <w:right w:val="single" w:sz="4" w:space="0" w:color="auto"/>
            </w:tcBorders>
            <w:shd w:val="clear" w:color="000000" w:fill="FFFFFF"/>
            <w:noWrap/>
            <w:vAlign w:val="bottom"/>
            <w:hideMark/>
          </w:tcPr>
          <w:p w14:paraId="4D15A8DB"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88,89</w:t>
            </w:r>
          </w:p>
        </w:tc>
        <w:tc>
          <w:tcPr>
            <w:tcW w:w="988" w:type="dxa"/>
            <w:tcBorders>
              <w:top w:val="nil"/>
              <w:left w:val="nil"/>
              <w:bottom w:val="single" w:sz="4" w:space="0" w:color="auto"/>
              <w:right w:val="single" w:sz="4" w:space="0" w:color="auto"/>
            </w:tcBorders>
            <w:shd w:val="clear" w:color="000000" w:fill="FFFFFF"/>
            <w:noWrap/>
            <w:vAlign w:val="bottom"/>
            <w:hideMark/>
          </w:tcPr>
          <w:p w14:paraId="52FBB3D9"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95,16</w:t>
            </w:r>
          </w:p>
        </w:tc>
      </w:tr>
      <w:tr w:rsidR="00497710" w:rsidRPr="00497710" w14:paraId="2AEDC7B6" w14:textId="77777777" w:rsidTr="00497710">
        <w:trPr>
          <w:trHeight w:val="267"/>
          <w:jc w:val="center"/>
        </w:trPr>
        <w:tc>
          <w:tcPr>
            <w:tcW w:w="2553" w:type="dxa"/>
            <w:tcBorders>
              <w:top w:val="nil"/>
              <w:left w:val="single" w:sz="4" w:space="0" w:color="auto"/>
              <w:bottom w:val="single" w:sz="4" w:space="0" w:color="auto"/>
              <w:right w:val="single" w:sz="4" w:space="0" w:color="auto"/>
            </w:tcBorders>
            <w:shd w:val="clear" w:color="000000" w:fill="FFFFFF"/>
            <w:noWrap/>
            <w:vAlign w:val="center"/>
            <w:hideMark/>
          </w:tcPr>
          <w:p w14:paraId="3DA7314E" w14:textId="77777777" w:rsidR="001E561E" w:rsidRPr="00497710" w:rsidRDefault="001E561E" w:rsidP="005E08AA">
            <w:pPr>
              <w:spacing w:after="0" w:line="240" w:lineRule="auto"/>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Tucumán</w:t>
            </w:r>
          </w:p>
        </w:tc>
        <w:tc>
          <w:tcPr>
            <w:tcW w:w="995" w:type="dxa"/>
            <w:tcBorders>
              <w:top w:val="nil"/>
              <w:left w:val="nil"/>
              <w:bottom w:val="single" w:sz="4" w:space="0" w:color="auto"/>
              <w:right w:val="single" w:sz="4" w:space="0" w:color="auto"/>
            </w:tcBorders>
            <w:shd w:val="clear" w:color="000000" w:fill="FFFFFF"/>
            <w:noWrap/>
            <w:vAlign w:val="bottom"/>
            <w:hideMark/>
          </w:tcPr>
          <w:p w14:paraId="521B4DCF"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0,98</w:t>
            </w:r>
          </w:p>
        </w:tc>
        <w:tc>
          <w:tcPr>
            <w:tcW w:w="993" w:type="dxa"/>
            <w:tcBorders>
              <w:top w:val="nil"/>
              <w:left w:val="nil"/>
              <w:bottom w:val="single" w:sz="4" w:space="0" w:color="auto"/>
              <w:right w:val="single" w:sz="4" w:space="0" w:color="auto"/>
            </w:tcBorders>
            <w:shd w:val="clear" w:color="000000" w:fill="FFFFFF"/>
            <w:noWrap/>
            <w:vAlign w:val="bottom"/>
            <w:hideMark/>
          </w:tcPr>
          <w:p w14:paraId="7C84DB2F"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1,31</w:t>
            </w:r>
          </w:p>
        </w:tc>
        <w:tc>
          <w:tcPr>
            <w:tcW w:w="852" w:type="dxa"/>
            <w:tcBorders>
              <w:top w:val="nil"/>
              <w:left w:val="nil"/>
              <w:bottom w:val="single" w:sz="4" w:space="0" w:color="auto"/>
              <w:right w:val="single" w:sz="4" w:space="0" w:color="auto"/>
            </w:tcBorders>
            <w:shd w:val="clear" w:color="000000" w:fill="FFFFFF"/>
            <w:noWrap/>
            <w:vAlign w:val="bottom"/>
            <w:hideMark/>
          </w:tcPr>
          <w:p w14:paraId="0FD983E0"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1,68</w:t>
            </w:r>
          </w:p>
        </w:tc>
        <w:tc>
          <w:tcPr>
            <w:tcW w:w="852" w:type="dxa"/>
            <w:tcBorders>
              <w:top w:val="nil"/>
              <w:left w:val="nil"/>
              <w:bottom w:val="single" w:sz="4" w:space="0" w:color="auto"/>
              <w:right w:val="single" w:sz="4" w:space="0" w:color="auto"/>
            </w:tcBorders>
            <w:shd w:val="clear" w:color="000000" w:fill="FFFFFF"/>
            <w:noWrap/>
            <w:vAlign w:val="bottom"/>
            <w:hideMark/>
          </w:tcPr>
          <w:p w14:paraId="26A4EE23"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1,71</w:t>
            </w:r>
          </w:p>
        </w:tc>
        <w:tc>
          <w:tcPr>
            <w:tcW w:w="1135" w:type="dxa"/>
            <w:tcBorders>
              <w:top w:val="nil"/>
              <w:left w:val="nil"/>
              <w:bottom w:val="single" w:sz="4" w:space="0" w:color="auto"/>
              <w:right w:val="single" w:sz="4" w:space="0" w:color="auto"/>
            </w:tcBorders>
            <w:shd w:val="clear" w:color="000000" w:fill="FFFFFF"/>
            <w:noWrap/>
            <w:vAlign w:val="bottom"/>
            <w:hideMark/>
          </w:tcPr>
          <w:p w14:paraId="20506C50"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132,79</w:t>
            </w:r>
          </w:p>
        </w:tc>
        <w:tc>
          <w:tcPr>
            <w:tcW w:w="994" w:type="dxa"/>
            <w:tcBorders>
              <w:top w:val="nil"/>
              <w:left w:val="nil"/>
              <w:bottom w:val="single" w:sz="4" w:space="0" w:color="auto"/>
              <w:right w:val="single" w:sz="4" w:space="0" w:color="auto"/>
            </w:tcBorders>
            <w:shd w:val="clear" w:color="000000" w:fill="FFFFFF"/>
            <w:noWrap/>
            <w:vAlign w:val="bottom"/>
            <w:hideMark/>
          </w:tcPr>
          <w:p w14:paraId="48580A5C"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170,37</w:t>
            </w:r>
          </w:p>
        </w:tc>
        <w:tc>
          <w:tcPr>
            <w:tcW w:w="988" w:type="dxa"/>
            <w:tcBorders>
              <w:top w:val="nil"/>
              <w:left w:val="nil"/>
              <w:bottom w:val="single" w:sz="4" w:space="0" w:color="auto"/>
              <w:right w:val="single" w:sz="4" w:space="0" w:color="auto"/>
            </w:tcBorders>
            <w:shd w:val="clear" w:color="000000" w:fill="FFFFFF"/>
            <w:noWrap/>
            <w:vAlign w:val="bottom"/>
            <w:hideMark/>
          </w:tcPr>
          <w:p w14:paraId="74924854"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173,85</w:t>
            </w:r>
          </w:p>
        </w:tc>
      </w:tr>
      <w:tr w:rsidR="00497710" w:rsidRPr="00497710" w14:paraId="5EE7F3AD" w14:textId="77777777" w:rsidTr="00497710">
        <w:trPr>
          <w:trHeight w:val="267"/>
          <w:jc w:val="center"/>
        </w:trPr>
        <w:tc>
          <w:tcPr>
            <w:tcW w:w="2553" w:type="dxa"/>
            <w:tcBorders>
              <w:top w:val="nil"/>
              <w:left w:val="single" w:sz="4" w:space="0" w:color="auto"/>
              <w:bottom w:val="single" w:sz="4" w:space="0" w:color="auto"/>
              <w:right w:val="single" w:sz="4" w:space="0" w:color="auto"/>
            </w:tcBorders>
            <w:shd w:val="clear" w:color="000000" w:fill="FFFFFF"/>
            <w:noWrap/>
            <w:vAlign w:val="center"/>
            <w:hideMark/>
          </w:tcPr>
          <w:p w14:paraId="7F135B11" w14:textId="77777777" w:rsidR="001E561E" w:rsidRPr="00497710" w:rsidRDefault="001E561E" w:rsidP="005E08AA">
            <w:pPr>
              <w:spacing w:after="0" w:line="240" w:lineRule="auto"/>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Tierra del Fuego</w:t>
            </w:r>
          </w:p>
        </w:tc>
        <w:tc>
          <w:tcPr>
            <w:tcW w:w="995" w:type="dxa"/>
            <w:tcBorders>
              <w:top w:val="nil"/>
              <w:left w:val="nil"/>
              <w:bottom w:val="single" w:sz="4" w:space="0" w:color="auto"/>
              <w:right w:val="single" w:sz="4" w:space="0" w:color="auto"/>
            </w:tcBorders>
            <w:shd w:val="clear" w:color="000000" w:fill="FFFFFF"/>
            <w:noWrap/>
            <w:vAlign w:val="bottom"/>
            <w:hideMark/>
          </w:tcPr>
          <w:p w14:paraId="2499A618"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1,41</w:t>
            </w:r>
          </w:p>
        </w:tc>
        <w:tc>
          <w:tcPr>
            <w:tcW w:w="993" w:type="dxa"/>
            <w:tcBorders>
              <w:top w:val="nil"/>
              <w:left w:val="nil"/>
              <w:bottom w:val="single" w:sz="4" w:space="0" w:color="auto"/>
              <w:right w:val="single" w:sz="4" w:space="0" w:color="auto"/>
            </w:tcBorders>
            <w:shd w:val="clear" w:color="000000" w:fill="FFFFFF"/>
            <w:noWrap/>
            <w:vAlign w:val="bottom"/>
            <w:hideMark/>
          </w:tcPr>
          <w:p w14:paraId="3585B791"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1,20</w:t>
            </w:r>
          </w:p>
        </w:tc>
        <w:tc>
          <w:tcPr>
            <w:tcW w:w="852" w:type="dxa"/>
            <w:tcBorders>
              <w:top w:val="nil"/>
              <w:left w:val="nil"/>
              <w:bottom w:val="single" w:sz="4" w:space="0" w:color="auto"/>
              <w:right w:val="single" w:sz="4" w:space="0" w:color="auto"/>
            </w:tcBorders>
            <w:shd w:val="clear" w:color="000000" w:fill="FFFFFF"/>
            <w:noWrap/>
            <w:vAlign w:val="bottom"/>
            <w:hideMark/>
          </w:tcPr>
          <w:p w14:paraId="65E00F23"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0,99</w:t>
            </w:r>
          </w:p>
        </w:tc>
        <w:tc>
          <w:tcPr>
            <w:tcW w:w="852" w:type="dxa"/>
            <w:tcBorders>
              <w:top w:val="nil"/>
              <w:left w:val="nil"/>
              <w:bottom w:val="single" w:sz="4" w:space="0" w:color="auto"/>
              <w:right w:val="single" w:sz="4" w:space="0" w:color="auto"/>
            </w:tcBorders>
            <w:shd w:val="clear" w:color="000000" w:fill="FFFFFF"/>
            <w:noWrap/>
            <w:vAlign w:val="bottom"/>
            <w:hideMark/>
          </w:tcPr>
          <w:p w14:paraId="5FB1AD45"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1,07</w:t>
            </w:r>
          </w:p>
        </w:tc>
        <w:tc>
          <w:tcPr>
            <w:tcW w:w="1135" w:type="dxa"/>
            <w:tcBorders>
              <w:top w:val="nil"/>
              <w:left w:val="nil"/>
              <w:bottom w:val="single" w:sz="4" w:space="0" w:color="auto"/>
              <w:right w:val="single" w:sz="4" w:space="0" w:color="auto"/>
            </w:tcBorders>
            <w:shd w:val="clear" w:color="000000" w:fill="FFFFFF"/>
            <w:noWrap/>
            <w:vAlign w:val="bottom"/>
            <w:hideMark/>
          </w:tcPr>
          <w:p w14:paraId="3E511E10"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85,13</w:t>
            </w:r>
          </w:p>
        </w:tc>
        <w:tc>
          <w:tcPr>
            <w:tcW w:w="994" w:type="dxa"/>
            <w:tcBorders>
              <w:top w:val="nil"/>
              <w:left w:val="nil"/>
              <w:bottom w:val="single" w:sz="4" w:space="0" w:color="auto"/>
              <w:right w:val="single" w:sz="4" w:space="0" w:color="auto"/>
            </w:tcBorders>
            <w:shd w:val="clear" w:color="000000" w:fill="FFFFFF"/>
            <w:noWrap/>
            <w:vAlign w:val="bottom"/>
            <w:hideMark/>
          </w:tcPr>
          <w:p w14:paraId="48FB182A"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70,22</w:t>
            </w:r>
          </w:p>
        </w:tc>
        <w:tc>
          <w:tcPr>
            <w:tcW w:w="988" w:type="dxa"/>
            <w:tcBorders>
              <w:top w:val="nil"/>
              <w:left w:val="nil"/>
              <w:bottom w:val="single" w:sz="4" w:space="0" w:color="auto"/>
              <w:right w:val="single" w:sz="4" w:space="0" w:color="auto"/>
            </w:tcBorders>
            <w:shd w:val="clear" w:color="000000" w:fill="FFFFFF"/>
            <w:noWrap/>
            <w:vAlign w:val="bottom"/>
            <w:hideMark/>
          </w:tcPr>
          <w:p w14:paraId="63DAE09E" w14:textId="77777777" w:rsidR="001E561E" w:rsidRPr="00497710" w:rsidRDefault="001E561E" w:rsidP="007827DE">
            <w:pPr>
              <w:spacing w:after="0" w:line="240" w:lineRule="auto"/>
              <w:jc w:val="center"/>
              <w:rPr>
                <w:rFonts w:ascii="Arial" w:eastAsia="Times New Roman" w:hAnsi="Arial" w:cs="Arial"/>
                <w:color w:val="000000"/>
                <w:sz w:val="20"/>
                <w:szCs w:val="20"/>
                <w:lang w:eastAsia="es-AR"/>
              </w:rPr>
            </w:pPr>
            <w:r w:rsidRPr="00497710">
              <w:rPr>
                <w:rFonts w:ascii="Arial" w:eastAsia="Times New Roman" w:hAnsi="Arial" w:cs="Arial"/>
                <w:color w:val="000000"/>
                <w:sz w:val="20"/>
                <w:szCs w:val="20"/>
                <w:lang w:eastAsia="es-AR"/>
              </w:rPr>
              <w:t>76,12</w:t>
            </w:r>
          </w:p>
        </w:tc>
      </w:tr>
    </w:tbl>
    <w:p w14:paraId="0578E4AA" w14:textId="5815FF0C" w:rsidR="001E561E" w:rsidRPr="00497710" w:rsidRDefault="001E561E" w:rsidP="002B4347">
      <w:pPr>
        <w:spacing w:after="0" w:line="240" w:lineRule="auto"/>
        <w:jc w:val="center"/>
        <w:rPr>
          <w:rFonts w:ascii="Arial" w:hAnsi="Arial" w:cs="Arial"/>
          <w:sz w:val="20"/>
          <w:szCs w:val="20"/>
        </w:rPr>
      </w:pPr>
      <w:r w:rsidRPr="00497710">
        <w:rPr>
          <w:rFonts w:ascii="Arial" w:hAnsi="Arial" w:cs="Arial"/>
          <w:b/>
          <w:bCs/>
          <w:sz w:val="18"/>
          <w:szCs w:val="18"/>
        </w:rPr>
        <w:t>*</w:t>
      </w:r>
      <w:r w:rsidRPr="00497710">
        <w:rPr>
          <w:rFonts w:ascii="Arial" w:hAnsi="Arial" w:cs="Arial"/>
          <w:sz w:val="18"/>
          <w:szCs w:val="18"/>
        </w:rPr>
        <w:t>A partir de 2015 los valores estimados lo son sobre la base del valor promedio de los cinco años precedentes</w:t>
      </w:r>
      <w:r w:rsidRPr="00497710">
        <w:rPr>
          <w:rFonts w:ascii="Arial" w:hAnsi="Arial" w:cs="Arial"/>
          <w:sz w:val="20"/>
          <w:szCs w:val="20"/>
        </w:rPr>
        <w:t>.</w:t>
      </w:r>
    </w:p>
    <w:p w14:paraId="2FF6D550" w14:textId="01398C68" w:rsidR="00BF3BB7" w:rsidRPr="007148A6" w:rsidRDefault="00B177A7" w:rsidP="006E4612">
      <w:pPr>
        <w:pStyle w:val="Prrafodelista"/>
        <w:numPr>
          <w:ilvl w:val="0"/>
          <w:numId w:val="1"/>
        </w:numPr>
        <w:autoSpaceDE w:val="0"/>
        <w:autoSpaceDN w:val="0"/>
        <w:adjustRightInd w:val="0"/>
        <w:spacing w:before="120" w:after="120"/>
        <w:jc w:val="both"/>
        <w:rPr>
          <w:rFonts w:ascii="Arial" w:hAnsi="Arial" w:cs="Arial"/>
          <w:b/>
          <w:bCs/>
        </w:rPr>
      </w:pPr>
      <w:r w:rsidRPr="007148A6">
        <w:rPr>
          <w:rFonts w:ascii="Arial" w:hAnsi="Arial" w:cs="Arial"/>
          <w:b/>
          <w:bCs/>
        </w:rPr>
        <w:t>Un régimen de transición</w:t>
      </w:r>
    </w:p>
    <w:p w14:paraId="17CC34B2" w14:textId="21D1099D" w:rsidR="00644418" w:rsidRPr="007148A6" w:rsidRDefault="00730BD0" w:rsidP="006E4612">
      <w:pPr>
        <w:autoSpaceDE w:val="0"/>
        <w:autoSpaceDN w:val="0"/>
        <w:adjustRightInd w:val="0"/>
        <w:spacing w:before="120" w:after="120"/>
        <w:jc w:val="both"/>
        <w:rPr>
          <w:rFonts w:ascii="Arial" w:hAnsi="Arial" w:cs="Arial"/>
        </w:rPr>
      </w:pPr>
      <w:r w:rsidRPr="007148A6">
        <w:rPr>
          <w:rFonts w:ascii="Arial" w:hAnsi="Arial" w:cs="Arial"/>
        </w:rPr>
        <w:t>U</w:t>
      </w:r>
      <w:r w:rsidR="00CC736D" w:rsidRPr="007148A6">
        <w:rPr>
          <w:rFonts w:ascii="Arial" w:hAnsi="Arial" w:cs="Arial"/>
        </w:rPr>
        <w:t>n cambio en la legislación que rige la</w:t>
      </w:r>
      <w:r w:rsidR="00FC0468" w:rsidRPr="007148A6">
        <w:rPr>
          <w:rFonts w:ascii="Arial" w:hAnsi="Arial" w:cs="Arial"/>
        </w:rPr>
        <w:t xml:space="preserve"> distribución de recursos entre el gobierno nacional y el conjunto de provincias (incluida la CABA)</w:t>
      </w:r>
      <w:r w:rsidR="00A77B0A" w:rsidRPr="007148A6">
        <w:rPr>
          <w:rFonts w:ascii="Arial" w:hAnsi="Arial" w:cs="Arial"/>
        </w:rPr>
        <w:t>,</w:t>
      </w:r>
      <w:r w:rsidR="00A632A8" w:rsidRPr="007148A6">
        <w:rPr>
          <w:rFonts w:ascii="Arial" w:hAnsi="Arial" w:cs="Arial"/>
        </w:rPr>
        <w:t xml:space="preserve"> con la adopción de criterios objetivos de reparto, tal como lo exige la </w:t>
      </w:r>
      <w:r w:rsidR="00D340D0" w:rsidRPr="007148A6">
        <w:rPr>
          <w:rFonts w:ascii="Arial" w:hAnsi="Arial" w:cs="Arial"/>
        </w:rPr>
        <w:t>norma constitucional de 1994</w:t>
      </w:r>
      <w:r w:rsidR="009D1135" w:rsidRPr="007148A6">
        <w:rPr>
          <w:rFonts w:ascii="Arial" w:hAnsi="Arial" w:cs="Arial"/>
        </w:rPr>
        <w:t xml:space="preserve">, indudablemente </w:t>
      </w:r>
      <w:r w:rsidR="00386B35" w:rsidRPr="007148A6">
        <w:rPr>
          <w:rFonts w:ascii="Arial" w:hAnsi="Arial" w:cs="Arial"/>
        </w:rPr>
        <w:t xml:space="preserve">ocasionará cambios en las participaciones de las distintas </w:t>
      </w:r>
      <w:r w:rsidR="005C3BDE" w:rsidRPr="007148A6">
        <w:rPr>
          <w:rFonts w:ascii="Arial" w:hAnsi="Arial" w:cs="Arial"/>
        </w:rPr>
        <w:t>jurisdicciones en la masa coparticipable.</w:t>
      </w:r>
      <w:r w:rsidR="00EB2CE3" w:rsidRPr="007148A6">
        <w:rPr>
          <w:rFonts w:ascii="Arial" w:hAnsi="Arial" w:cs="Arial"/>
        </w:rPr>
        <w:t xml:space="preserve"> En consecuencia</w:t>
      </w:r>
      <w:r w:rsidR="00FC7ED8" w:rsidRPr="007148A6">
        <w:rPr>
          <w:rFonts w:ascii="Arial" w:hAnsi="Arial" w:cs="Arial"/>
        </w:rPr>
        <w:t xml:space="preserve">, habrá ganadores y perdedores. </w:t>
      </w:r>
      <w:r w:rsidR="00CC622D" w:rsidRPr="007148A6">
        <w:rPr>
          <w:rFonts w:ascii="Arial" w:hAnsi="Arial" w:cs="Arial"/>
        </w:rPr>
        <w:t>Algunas jurisdicciones ganarán participación relativa y otras retrocederán en la suya.</w:t>
      </w:r>
      <w:r w:rsidR="00320BF3" w:rsidRPr="007148A6">
        <w:rPr>
          <w:rFonts w:ascii="Arial" w:hAnsi="Arial" w:cs="Arial"/>
        </w:rPr>
        <w:t xml:space="preserve"> En </w:t>
      </w:r>
      <w:r w:rsidR="00B03CB7" w:rsidRPr="007148A6">
        <w:rPr>
          <w:rFonts w:ascii="Arial" w:hAnsi="Arial" w:cs="Arial"/>
        </w:rPr>
        <w:t>consecuencia,</w:t>
      </w:r>
      <w:r w:rsidR="00320BF3" w:rsidRPr="007148A6">
        <w:rPr>
          <w:rFonts w:ascii="Arial" w:hAnsi="Arial" w:cs="Arial"/>
        </w:rPr>
        <w:t xml:space="preserve"> deberá haber una garantía </w:t>
      </w:r>
      <w:r w:rsidR="0038367A" w:rsidRPr="007148A6">
        <w:rPr>
          <w:rFonts w:ascii="Arial" w:hAnsi="Arial" w:cs="Arial"/>
        </w:rPr>
        <w:t>que señale que ninguno de los participantes subnacion</w:t>
      </w:r>
      <w:r w:rsidR="00C46EA9" w:rsidRPr="007148A6">
        <w:rPr>
          <w:rFonts w:ascii="Arial" w:hAnsi="Arial" w:cs="Arial"/>
        </w:rPr>
        <w:t xml:space="preserve">ales reciba menos recursos </w:t>
      </w:r>
      <w:r w:rsidR="00B20868" w:rsidRPr="007148A6">
        <w:rPr>
          <w:rFonts w:ascii="Arial" w:hAnsi="Arial" w:cs="Arial"/>
        </w:rPr>
        <w:t xml:space="preserve">con el nuevo régimen que se adopte </w:t>
      </w:r>
      <w:r w:rsidR="00D7420C" w:rsidRPr="007148A6">
        <w:rPr>
          <w:rFonts w:ascii="Arial" w:hAnsi="Arial" w:cs="Arial"/>
        </w:rPr>
        <w:t>que con el anterior.</w:t>
      </w:r>
      <w:r w:rsidR="006207DB" w:rsidRPr="007148A6">
        <w:rPr>
          <w:rFonts w:ascii="Arial" w:hAnsi="Arial" w:cs="Arial"/>
        </w:rPr>
        <w:t xml:space="preserve"> </w:t>
      </w:r>
      <w:r w:rsidR="008418C1" w:rsidRPr="007148A6">
        <w:rPr>
          <w:rFonts w:ascii="Arial" w:hAnsi="Arial" w:cs="Arial"/>
        </w:rPr>
        <w:t xml:space="preserve">Nadie debe perder </w:t>
      </w:r>
      <w:r w:rsidR="0047651B" w:rsidRPr="007148A6">
        <w:rPr>
          <w:rFonts w:ascii="Arial" w:hAnsi="Arial" w:cs="Arial"/>
        </w:rPr>
        <w:t>en términos absolutos</w:t>
      </w:r>
      <w:r w:rsidR="00B03CB7" w:rsidRPr="007148A6">
        <w:rPr>
          <w:rFonts w:ascii="Arial" w:hAnsi="Arial" w:cs="Arial"/>
        </w:rPr>
        <w:t xml:space="preserve">. El crecimiento de la economía y </w:t>
      </w:r>
      <w:r w:rsidR="008B66F8" w:rsidRPr="007148A6">
        <w:rPr>
          <w:rFonts w:ascii="Arial" w:hAnsi="Arial" w:cs="Arial"/>
        </w:rPr>
        <w:t>el</w:t>
      </w:r>
      <w:r w:rsidR="00B03CB7" w:rsidRPr="007148A6">
        <w:rPr>
          <w:rFonts w:ascii="Arial" w:hAnsi="Arial" w:cs="Arial"/>
        </w:rPr>
        <w:t xml:space="preserve"> consecuente </w:t>
      </w:r>
      <w:r w:rsidR="0012596B" w:rsidRPr="007148A6">
        <w:rPr>
          <w:rFonts w:ascii="Arial" w:hAnsi="Arial" w:cs="Arial"/>
        </w:rPr>
        <w:t>incremento de las recaudaciones tributarias</w:t>
      </w:r>
      <w:r w:rsidR="009C74B9" w:rsidRPr="007148A6">
        <w:rPr>
          <w:rFonts w:ascii="Arial" w:hAnsi="Arial" w:cs="Arial"/>
        </w:rPr>
        <w:t xml:space="preserve"> podrá cubrir esa necesidad en un tiempo prudencial. Un criterio razonable sería que </w:t>
      </w:r>
      <w:r w:rsidR="0041385B" w:rsidRPr="007148A6">
        <w:rPr>
          <w:rFonts w:ascii="Arial" w:hAnsi="Arial" w:cs="Arial"/>
        </w:rPr>
        <w:t xml:space="preserve">el lapso de transición no </w:t>
      </w:r>
      <w:r w:rsidR="009F3FE3" w:rsidRPr="007148A6">
        <w:rPr>
          <w:rFonts w:ascii="Arial" w:hAnsi="Arial" w:cs="Arial"/>
        </w:rPr>
        <w:t>debería ser muy prolongado ya</w:t>
      </w:r>
      <w:r w:rsidR="005F479F" w:rsidRPr="007148A6">
        <w:rPr>
          <w:rFonts w:ascii="Arial" w:hAnsi="Arial" w:cs="Arial"/>
        </w:rPr>
        <w:t xml:space="preserve"> que</w:t>
      </w:r>
      <w:r w:rsidR="009F3FE3" w:rsidRPr="007148A6">
        <w:rPr>
          <w:rFonts w:ascii="Arial" w:hAnsi="Arial" w:cs="Arial"/>
        </w:rPr>
        <w:t xml:space="preserve"> la experiencia </w:t>
      </w:r>
      <w:r w:rsidR="00C9051A" w:rsidRPr="007148A6">
        <w:rPr>
          <w:rFonts w:ascii="Arial" w:hAnsi="Arial" w:cs="Arial"/>
        </w:rPr>
        <w:t>indica que</w:t>
      </w:r>
      <w:r w:rsidR="009F3FE3" w:rsidRPr="007148A6">
        <w:rPr>
          <w:rFonts w:ascii="Arial" w:hAnsi="Arial" w:cs="Arial"/>
        </w:rPr>
        <w:t xml:space="preserve"> las variaciones cíclicas del </w:t>
      </w:r>
      <w:r w:rsidR="00940589" w:rsidRPr="007148A6">
        <w:rPr>
          <w:rFonts w:ascii="Arial" w:hAnsi="Arial" w:cs="Arial"/>
        </w:rPr>
        <w:t>desempeño de economía podr</w:t>
      </w:r>
      <w:r w:rsidR="00C9051A" w:rsidRPr="007148A6">
        <w:rPr>
          <w:rFonts w:ascii="Arial" w:hAnsi="Arial" w:cs="Arial"/>
        </w:rPr>
        <w:t>ía</w:t>
      </w:r>
      <w:r w:rsidR="00940589" w:rsidRPr="007148A6">
        <w:rPr>
          <w:rFonts w:ascii="Arial" w:hAnsi="Arial" w:cs="Arial"/>
        </w:rPr>
        <w:t>n in</w:t>
      </w:r>
      <w:r w:rsidR="00983D82" w:rsidRPr="007148A6">
        <w:rPr>
          <w:rFonts w:ascii="Arial" w:hAnsi="Arial" w:cs="Arial"/>
        </w:rPr>
        <w:t>cidir en que se modifiquen las normas y criterios que inicialmente se adopte</w:t>
      </w:r>
      <w:r w:rsidR="00212AF5" w:rsidRPr="007148A6">
        <w:rPr>
          <w:rFonts w:ascii="Arial" w:hAnsi="Arial" w:cs="Arial"/>
        </w:rPr>
        <w:t>n.</w:t>
      </w:r>
      <w:r w:rsidR="00E55534" w:rsidRPr="007148A6">
        <w:rPr>
          <w:rStyle w:val="Refdenotaalpie"/>
          <w:rFonts w:ascii="Arial" w:hAnsi="Arial" w:cs="Arial"/>
        </w:rPr>
        <w:footnoteReference w:id="22"/>
      </w:r>
    </w:p>
    <w:p w14:paraId="413BB7D2" w14:textId="3F1F9154" w:rsidR="00B6658A" w:rsidRPr="007148A6" w:rsidRDefault="00B6658A" w:rsidP="006E4612">
      <w:pPr>
        <w:pStyle w:val="Prrafodelista"/>
        <w:numPr>
          <w:ilvl w:val="0"/>
          <w:numId w:val="1"/>
        </w:numPr>
        <w:autoSpaceDE w:val="0"/>
        <w:autoSpaceDN w:val="0"/>
        <w:adjustRightInd w:val="0"/>
        <w:spacing w:before="120" w:after="120"/>
        <w:ind w:left="714" w:hanging="357"/>
        <w:jc w:val="both"/>
        <w:rPr>
          <w:rFonts w:ascii="Arial" w:hAnsi="Arial" w:cs="Arial"/>
          <w:b/>
          <w:bCs/>
        </w:rPr>
      </w:pPr>
      <w:r w:rsidRPr="007148A6">
        <w:rPr>
          <w:rFonts w:ascii="Arial" w:hAnsi="Arial" w:cs="Arial"/>
          <w:b/>
          <w:bCs/>
        </w:rPr>
        <w:lastRenderedPageBreak/>
        <w:t>Conclusiones</w:t>
      </w:r>
    </w:p>
    <w:p w14:paraId="3A4D44C6" w14:textId="77777777" w:rsidR="005143D8" w:rsidRPr="007148A6" w:rsidRDefault="004A499B" w:rsidP="006E4612">
      <w:pPr>
        <w:autoSpaceDE w:val="0"/>
        <w:autoSpaceDN w:val="0"/>
        <w:adjustRightInd w:val="0"/>
        <w:spacing w:before="120" w:after="120"/>
        <w:jc w:val="both"/>
        <w:rPr>
          <w:rFonts w:ascii="Arial" w:hAnsi="Arial" w:cs="Arial"/>
        </w:rPr>
      </w:pPr>
      <w:r w:rsidRPr="007148A6">
        <w:rPr>
          <w:rFonts w:ascii="Arial" w:hAnsi="Arial" w:cs="Arial"/>
        </w:rPr>
        <w:t xml:space="preserve">En el presente trabajo se procurado presentar una iniciativa </w:t>
      </w:r>
      <w:r w:rsidR="005143D8" w:rsidRPr="007148A6">
        <w:rPr>
          <w:rFonts w:ascii="Arial" w:hAnsi="Arial" w:cs="Arial"/>
        </w:rPr>
        <w:t xml:space="preserve">orientada a una propuesta parcial de cómo debería diseñarse un futuro régimen de coparticipación federal de impuestos entre el gobierno nacional, las provincias y la CABA que conforme las exigencias de la Constitución Nacional (Art. 75, inc. 2 y cláusula transitoria 6ta.) sin pretender por ello agotar la discusión. </w:t>
      </w:r>
    </w:p>
    <w:p w14:paraId="579AC7D7" w14:textId="1BB2AE50" w:rsidR="005143D8" w:rsidRPr="007148A6" w:rsidRDefault="005143D8" w:rsidP="006E4612">
      <w:pPr>
        <w:autoSpaceDE w:val="0"/>
        <w:autoSpaceDN w:val="0"/>
        <w:adjustRightInd w:val="0"/>
        <w:spacing w:before="120" w:after="120"/>
        <w:jc w:val="both"/>
        <w:rPr>
          <w:rFonts w:ascii="Arial" w:hAnsi="Arial" w:cs="Arial"/>
        </w:rPr>
      </w:pPr>
      <w:r w:rsidRPr="007148A6">
        <w:rPr>
          <w:rFonts w:ascii="Arial" w:hAnsi="Arial" w:cs="Arial"/>
        </w:rPr>
        <w:t>Se han analizado propuestas de otros autores y se ha llegado a la conclusión de ratificar el modelo expuesto en trabajos anteriores al presente, actualizando la información y procurando fundamentar debidamente la propuesta. Hasta ahora, después de un cuarto de siglo desde que se venciera el plazo determinado por la norma constitucional no ha habido acuerdos entre las jurisdicciones comprometidas que se tradujeran en proyectos que pudieran ser sometidos a análisis técnicos y políticos y, menos, que alcanzaran estado parlamentario.</w:t>
      </w:r>
    </w:p>
    <w:p w14:paraId="30D5FC0B" w14:textId="6B6A95FD" w:rsidR="005143D8" w:rsidRPr="007148A6" w:rsidRDefault="005143D8" w:rsidP="006E4612">
      <w:pPr>
        <w:autoSpaceDE w:val="0"/>
        <w:autoSpaceDN w:val="0"/>
        <w:adjustRightInd w:val="0"/>
        <w:spacing w:before="120" w:after="120"/>
        <w:jc w:val="both"/>
        <w:rPr>
          <w:rFonts w:ascii="Arial" w:hAnsi="Arial" w:cs="Arial"/>
        </w:rPr>
      </w:pPr>
      <w:r w:rsidRPr="007148A6">
        <w:rPr>
          <w:rFonts w:ascii="Arial" w:hAnsi="Arial" w:cs="Arial"/>
        </w:rPr>
        <w:t>Sin embargo</w:t>
      </w:r>
      <w:r w:rsidR="00E833CB" w:rsidRPr="007148A6">
        <w:rPr>
          <w:rFonts w:ascii="Arial" w:hAnsi="Arial" w:cs="Arial"/>
        </w:rPr>
        <w:t>,</w:t>
      </w:r>
      <w:r w:rsidRPr="007148A6">
        <w:rPr>
          <w:rFonts w:ascii="Arial" w:hAnsi="Arial" w:cs="Arial"/>
        </w:rPr>
        <w:t xml:space="preserve"> la opinión generalizada, tanto entre juristas. economistas y políticos consultados</w:t>
      </w:r>
      <w:r w:rsidR="005F479F" w:rsidRPr="007148A6">
        <w:rPr>
          <w:rFonts w:ascii="Arial" w:hAnsi="Arial" w:cs="Arial"/>
        </w:rPr>
        <w:t>,</w:t>
      </w:r>
      <w:r w:rsidRPr="007148A6">
        <w:rPr>
          <w:rFonts w:ascii="Arial" w:hAnsi="Arial" w:cs="Arial"/>
        </w:rPr>
        <w:t xml:space="preserve"> es que es necesario llevar adelante una iniciativa al respecto. No escapa al juicio de los autores del</w:t>
      </w:r>
      <w:r w:rsidR="00E833CB" w:rsidRPr="007148A6">
        <w:rPr>
          <w:rFonts w:ascii="Arial" w:hAnsi="Arial" w:cs="Arial"/>
        </w:rPr>
        <w:t xml:space="preserve"> </w:t>
      </w:r>
      <w:r w:rsidRPr="007148A6">
        <w:rPr>
          <w:rFonts w:ascii="Arial" w:hAnsi="Arial" w:cs="Arial"/>
        </w:rPr>
        <w:t xml:space="preserve">presente que un acuerdo al respecto es de difícil concreción, en especial debido a que ninguna jurisdicción </w:t>
      </w:r>
      <w:r w:rsidR="00E833CB" w:rsidRPr="007148A6">
        <w:rPr>
          <w:rFonts w:ascii="Arial" w:hAnsi="Arial" w:cs="Arial"/>
        </w:rPr>
        <w:t>aceptaría perder posiciones absolutas, aunque los cambios en posiciones relativas serían inevitables.</w:t>
      </w:r>
    </w:p>
    <w:p w14:paraId="23169207" w14:textId="1F567AF1" w:rsidR="00A432DC" w:rsidRPr="007148A6" w:rsidRDefault="00E833CB" w:rsidP="006E4612">
      <w:pPr>
        <w:autoSpaceDE w:val="0"/>
        <w:autoSpaceDN w:val="0"/>
        <w:adjustRightInd w:val="0"/>
        <w:spacing w:before="120" w:after="120"/>
        <w:jc w:val="both"/>
        <w:rPr>
          <w:rFonts w:ascii="Arial" w:hAnsi="Arial" w:cs="Arial"/>
        </w:rPr>
      </w:pPr>
      <w:r w:rsidRPr="007148A6">
        <w:rPr>
          <w:rFonts w:ascii="Arial" w:hAnsi="Arial" w:cs="Arial"/>
        </w:rPr>
        <w:t>Conforme a este criterio, se insiste en proponer un régimen que</w:t>
      </w:r>
      <w:r w:rsidR="00EB7DAB" w:rsidRPr="007148A6">
        <w:rPr>
          <w:rFonts w:ascii="Arial" w:hAnsi="Arial" w:cs="Arial"/>
        </w:rPr>
        <w:t>, además de se</w:t>
      </w:r>
      <w:r w:rsidR="006B772B" w:rsidRPr="007148A6">
        <w:rPr>
          <w:rFonts w:ascii="Arial" w:hAnsi="Arial" w:cs="Arial"/>
        </w:rPr>
        <w:t>r</w:t>
      </w:r>
      <w:r w:rsidR="00EB7DAB" w:rsidRPr="007148A6">
        <w:rPr>
          <w:rFonts w:ascii="Arial" w:hAnsi="Arial" w:cs="Arial"/>
        </w:rPr>
        <w:t xml:space="preserve"> inclusivo de todos los tributos que recauda el gobierno nacional incluidos los aranceles aduaneros y con la única exclusión de las contribuciones de la seguridad social, las que se justifican por su exclusivo destino,</w:t>
      </w:r>
      <w:r w:rsidRPr="007148A6">
        <w:rPr>
          <w:rFonts w:ascii="Arial" w:hAnsi="Arial" w:cs="Arial"/>
        </w:rPr>
        <w:t xml:space="preserve"> tenga en cuenta indicadores objetivos de distribución basados en el número de habitantes, como expresión de la demanda de servicios gubernamentales y por lo tanto sería una expresión del principio de correspondencia fiscal (a pesar de las opiniones contrarias de los autores citados) ya que podría sostenerse en que todos los ciudadanos son iguales ante la ley por lo que no debería, conforme a este principio, establecer preferencias discriminatoria</w:t>
      </w:r>
      <w:r w:rsidR="00EB7DAB" w:rsidRPr="007148A6">
        <w:rPr>
          <w:rFonts w:ascii="Arial" w:hAnsi="Arial" w:cs="Arial"/>
        </w:rPr>
        <w:t>s</w:t>
      </w:r>
      <w:r w:rsidRPr="007148A6">
        <w:rPr>
          <w:rFonts w:ascii="Arial" w:hAnsi="Arial" w:cs="Arial"/>
        </w:rPr>
        <w:t xml:space="preserve">. Sin embargo, los patrones de equidad predominantes exigen atender </w:t>
      </w:r>
      <w:r w:rsidR="0061659F" w:rsidRPr="007148A6">
        <w:rPr>
          <w:rFonts w:ascii="Arial" w:hAnsi="Arial" w:cs="Arial"/>
        </w:rPr>
        <w:t xml:space="preserve">demandas redistributivas por lo que se propone completar aquel indicador con otros que persigan este objetivo. En función de ello se propone aquí utilizar el índice de desarrollo humano (IDH) y el de población con necesidades básicas insatisfechas (NBI). </w:t>
      </w:r>
      <w:r w:rsidR="00A432DC" w:rsidRPr="007148A6">
        <w:rPr>
          <w:rFonts w:ascii="Arial" w:hAnsi="Arial" w:cs="Arial"/>
        </w:rPr>
        <w:t xml:space="preserve">Este </w:t>
      </w:r>
      <w:r w:rsidR="00EB7DAB" w:rsidRPr="007148A6">
        <w:rPr>
          <w:rFonts w:ascii="Arial" w:hAnsi="Arial" w:cs="Arial"/>
        </w:rPr>
        <w:t xml:space="preserve">último </w:t>
      </w:r>
      <w:r w:rsidR="00A432DC" w:rsidRPr="007148A6">
        <w:rPr>
          <w:rFonts w:ascii="Arial" w:hAnsi="Arial" w:cs="Arial"/>
        </w:rPr>
        <w:t>indicador tiene por objeto “cerrar las brechas de desarrollo” entre las provincias</w:t>
      </w:r>
      <w:r w:rsidR="0061659F" w:rsidRPr="007148A6">
        <w:rPr>
          <w:rFonts w:ascii="Arial" w:hAnsi="Arial" w:cs="Arial"/>
        </w:rPr>
        <w:t xml:space="preserve"> </w:t>
      </w:r>
      <w:r w:rsidR="00A432DC" w:rsidRPr="007148A6">
        <w:rPr>
          <w:rFonts w:ascii="Arial" w:hAnsi="Arial" w:cs="Arial"/>
        </w:rPr>
        <w:t>asignando recurso</w:t>
      </w:r>
      <w:r w:rsidR="00EB7DAB" w:rsidRPr="007148A6">
        <w:rPr>
          <w:rFonts w:ascii="Arial" w:hAnsi="Arial" w:cs="Arial"/>
        </w:rPr>
        <w:t>s</w:t>
      </w:r>
      <w:r w:rsidR="00A432DC" w:rsidRPr="007148A6">
        <w:rPr>
          <w:rFonts w:ascii="Arial" w:hAnsi="Arial" w:cs="Arial"/>
        </w:rPr>
        <w:t xml:space="preserve"> en función de las necesidades de servicios gubernamentales (toma en cuenta la calidad de la vivienda, sus condiciones sanitarias, el hacinamiento, la asistencia escolar y la capacidad de subsistencia). El IDH, por su parte, compensaría la tendencia negativa del anterior alentando el mejoramiento de la calidad de vida ya que toma en cuenta la esperanza de vida al nacer, el ingreso familiar per cápita y los años de educación aprobados).</w:t>
      </w:r>
      <w:r w:rsidR="00E817FC" w:rsidRPr="007148A6">
        <w:rPr>
          <w:rStyle w:val="Refdenotaalpie"/>
          <w:rFonts w:ascii="Arial" w:hAnsi="Arial" w:cs="Arial"/>
        </w:rPr>
        <w:footnoteReference w:id="23"/>
      </w:r>
    </w:p>
    <w:p w14:paraId="08E6476A" w14:textId="3CAD237A" w:rsidR="00E833CB" w:rsidRPr="007148A6" w:rsidRDefault="00A432DC" w:rsidP="006E4612">
      <w:pPr>
        <w:autoSpaceDE w:val="0"/>
        <w:autoSpaceDN w:val="0"/>
        <w:adjustRightInd w:val="0"/>
        <w:spacing w:before="120" w:after="120"/>
        <w:jc w:val="both"/>
        <w:rPr>
          <w:rFonts w:ascii="Arial" w:hAnsi="Arial" w:cs="Arial"/>
        </w:rPr>
      </w:pPr>
      <w:r w:rsidRPr="007148A6">
        <w:rPr>
          <w:rFonts w:ascii="Arial" w:hAnsi="Arial" w:cs="Arial"/>
        </w:rPr>
        <w:lastRenderedPageBreak/>
        <w:t>Asimismo</w:t>
      </w:r>
      <w:r w:rsidR="00C02665" w:rsidRPr="007148A6">
        <w:rPr>
          <w:rFonts w:ascii="Arial" w:hAnsi="Arial" w:cs="Arial"/>
        </w:rPr>
        <w:t>,</w:t>
      </w:r>
      <w:r w:rsidRPr="007148A6">
        <w:rPr>
          <w:rFonts w:ascii="Arial" w:hAnsi="Arial" w:cs="Arial"/>
        </w:rPr>
        <w:t xml:space="preserve"> se propone aquí</w:t>
      </w:r>
      <w:r w:rsidR="00D6391C" w:rsidRPr="007148A6">
        <w:rPr>
          <w:rFonts w:ascii="Arial" w:hAnsi="Arial" w:cs="Arial"/>
        </w:rPr>
        <w:t xml:space="preserve">, </w:t>
      </w:r>
      <w:r w:rsidRPr="007148A6">
        <w:rPr>
          <w:rFonts w:ascii="Arial" w:hAnsi="Arial" w:cs="Arial"/>
        </w:rPr>
        <w:t>reiterando el criterio expuesto en el trabajo anterior</w:t>
      </w:r>
      <w:r w:rsidR="00D6391C" w:rsidRPr="007148A6">
        <w:rPr>
          <w:rFonts w:ascii="Arial" w:hAnsi="Arial" w:cs="Arial"/>
        </w:rPr>
        <w:t>,</w:t>
      </w:r>
      <w:r w:rsidRPr="007148A6">
        <w:rPr>
          <w:rFonts w:ascii="Arial" w:hAnsi="Arial" w:cs="Arial"/>
        </w:rPr>
        <w:t xml:space="preserve"> tomar como indicador </w:t>
      </w:r>
      <w:r w:rsidR="00D6391C" w:rsidRPr="007148A6">
        <w:rPr>
          <w:rFonts w:ascii="Arial" w:hAnsi="Arial" w:cs="Arial"/>
        </w:rPr>
        <w:t xml:space="preserve">de </w:t>
      </w:r>
      <w:r w:rsidRPr="007148A6">
        <w:rPr>
          <w:rFonts w:ascii="Arial" w:hAnsi="Arial" w:cs="Arial"/>
        </w:rPr>
        <w:t xml:space="preserve">reparto la inversa del gasto del gobierno federal asignado geográficamente por jurisdicción. El argumento expuesto se basa en que este gasto contribuye a </w:t>
      </w:r>
      <w:r w:rsidR="00C02665" w:rsidRPr="007148A6">
        <w:rPr>
          <w:rFonts w:ascii="Arial" w:hAnsi="Arial" w:cs="Arial"/>
        </w:rPr>
        <w:t>aumentar la capacidad económica y tributaria de las provincias. Se destaca que más del 50% de este gasto asignado geográficamente se radica en dos jurisdicciones: la CABA y la Provincia de Buenos Aires, por los que contradice el criterio generalmente expuesto por otros autores que estos dos participantes serían lo más perjudicados por los regímenes vigente y anteriores.</w:t>
      </w:r>
    </w:p>
    <w:p w14:paraId="498D7CF4" w14:textId="10FF3741" w:rsidR="00C02665" w:rsidRPr="007148A6" w:rsidRDefault="004138D3" w:rsidP="006E4612">
      <w:pPr>
        <w:autoSpaceDE w:val="0"/>
        <w:autoSpaceDN w:val="0"/>
        <w:adjustRightInd w:val="0"/>
        <w:spacing w:before="120" w:after="120"/>
        <w:jc w:val="both"/>
        <w:rPr>
          <w:rFonts w:ascii="Arial" w:hAnsi="Arial" w:cs="Arial"/>
        </w:rPr>
      </w:pPr>
      <w:r w:rsidRPr="007148A6">
        <w:rPr>
          <w:rFonts w:ascii="Arial" w:hAnsi="Arial" w:cs="Arial"/>
        </w:rPr>
        <w:t>También</w:t>
      </w:r>
      <w:r w:rsidR="00C02665" w:rsidRPr="007148A6">
        <w:rPr>
          <w:rFonts w:ascii="Arial" w:hAnsi="Arial" w:cs="Arial"/>
        </w:rPr>
        <w:t xml:space="preserve"> se reitera </w:t>
      </w:r>
      <w:r w:rsidRPr="007148A6">
        <w:rPr>
          <w:rFonts w:ascii="Arial" w:hAnsi="Arial" w:cs="Arial"/>
        </w:rPr>
        <w:t xml:space="preserve">aquí </w:t>
      </w:r>
      <w:r w:rsidR="00C02665" w:rsidRPr="007148A6">
        <w:rPr>
          <w:rFonts w:ascii="Arial" w:hAnsi="Arial" w:cs="Arial"/>
        </w:rPr>
        <w:t xml:space="preserve">la propuesta de que el nuevo régimen que se adopte incluya incentivos de responsabilidad fiscal tales como </w:t>
      </w:r>
      <w:r w:rsidR="004C467F" w:rsidRPr="007148A6">
        <w:rPr>
          <w:rFonts w:ascii="Arial" w:hAnsi="Arial" w:cs="Arial"/>
        </w:rPr>
        <w:t>la inversa d</w:t>
      </w:r>
      <w:r w:rsidR="00C02665" w:rsidRPr="007148A6">
        <w:rPr>
          <w:rFonts w:ascii="Arial" w:hAnsi="Arial" w:cs="Arial"/>
        </w:rPr>
        <w:t xml:space="preserve">el cociente entre gasto en personal y el gasto primario, la razón entre </w:t>
      </w:r>
      <w:r w:rsidR="001B6971" w:rsidRPr="007148A6">
        <w:rPr>
          <w:rFonts w:ascii="Arial" w:hAnsi="Arial" w:cs="Arial"/>
        </w:rPr>
        <w:t>ingresos y gastos corrientes</w:t>
      </w:r>
      <w:r w:rsidR="00C02665" w:rsidRPr="007148A6">
        <w:rPr>
          <w:rFonts w:ascii="Arial" w:hAnsi="Arial" w:cs="Arial"/>
        </w:rPr>
        <w:t xml:space="preserve"> y, finalmente un indicador del esfuerzo fiscal de las jurisdicciones participantes tal como fue definido más arriba. El primero de estos incentivos actuaría con un efecto anticlientelar, el segundo incentivaría el esfuerzo por alcanzar o mejorar la solvencia y así asegurar la capacidad de endeudamiento y</w:t>
      </w:r>
      <w:r w:rsidR="001B6971" w:rsidRPr="007148A6">
        <w:rPr>
          <w:rFonts w:ascii="Arial" w:hAnsi="Arial" w:cs="Arial"/>
        </w:rPr>
        <w:t>/o de atender las obligaciones existentes. El tercero, a su vez, premiaría el esfuerzo de mejorar la percepción de recursos propios.</w:t>
      </w:r>
      <w:r w:rsidR="00983662" w:rsidRPr="007148A6">
        <w:rPr>
          <w:rStyle w:val="Refdenotaalpie"/>
          <w:rFonts w:ascii="Arial" w:hAnsi="Arial" w:cs="Arial"/>
        </w:rPr>
        <w:footnoteReference w:id="24"/>
      </w:r>
    </w:p>
    <w:p w14:paraId="2F7A2B34" w14:textId="77777777" w:rsidR="006554B0" w:rsidRPr="007148A6" w:rsidRDefault="001B6971" w:rsidP="006E4612">
      <w:pPr>
        <w:autoSpaceDE w:val="0"/>
        <w:autoSpaceDN w:val="0"/>
        <w:adjustRightInd w:val="0"/>
        <w:spacing w:before="120" w:after="120"/>
        <w:jc w:val="both"/>
        <w:rPr>
          <w:rFonts w:ascii="Arial" w:hAnsi="Arial" w:cs="Arial"/>
        </w:rPr>
      </w:pPr>
      <w:r w:rsidRPr="007148A6">
        <w:rPr>
          <w:rFonts w:ascii="Arial" w:hAnsi="Arial" w:cs="Arial"/>
        </w:rPr>
        <w:t>Con el cálculo de estos indicadores se apoyan las estimaciones de dos ejercicios de simulación que se acompañan, dando a cada uno de ellos, excepto al primero, ponderaciones distintas. No escapa al criterio de estos autores, como se expuso en trabajos anteriores, que un nuevo régimen de coparticipación federal deberá resultar del acuerdo político entre las partes integrantes (Nación, provincias y CABA). Pero</w:t>
      </w:r>
      <w:r w:rsidR="00D6391C" w:rsidRPr="007148A6">
        <w:rPr>
          <w:rFonts w:ascii="Arial" w:hAnsi="Arial" w:cs="Arial"/>
        </w:rPr>
        <w:t>,</w:t>
      </w:r>
      <w:r w:rsidRPr="007148A6">
        <w:rPr>
          <w:rFonts w:ascii="Arial" w:hAnsi="Arial" w:cs="Arial"/>
        </w:rPr>
        <w:t xml:space="preserve"> desde la perspectiva técnica y académica de los autores del presente, además de sostener funda</w:t>
      </w:r>
      <w:r w:rsidR="00B6713C" w:rsidRPr="007148A6">
        <w:rPr>
          <w:rFonts w:ascii="Arial" w:hAnsi="Arial" w:cs="Arial"/>
        </w:rPr>
        <w:t>da</w:t>
      </w:r>
      <w:r w:rsidRPr="007148A6">
        <w:rPr>
          <w:rFonts w:ascii="Arial" w:hAnsi="Arial" w:cs="Arial"/>
        </w:rPr>
        <w:t>ment</w:t>
      </w:r>
      <w:r w:rsidR="00D6391C" w:rsidRPr="007148A6">
        <w:rPr>
          <w:rFonts w:ascii="Arial" w:hAnsi="Arial" w:cs="Arial"/>
        </w:rPr>
        <w:t>e</w:t>
      </w:r>
      <w:r w:rsidRPr="007148A6">
        <w:rPr>
          <w:rFonts w:ascii="Arial" w:hAnsi="Arial" w:cs="Arial"/>
        </w:rPr>
        <w:t xml:space="preserve"> los indicadores de reparto propuesto</w:t>
      </w:r>
      <w:r w:rsidR="00D6391C" w:rsidRPr="007148A6">
        <w:rPr>
          <w:rFonts w:ascii="Arial" w:hAnsi="Arial" w:cs="Arial"/>
        </w:rPr>
        <w:t>s</w:t>
      </w:r>
      <w:r w:rsidRPr="007148A6">
        <w:rPr>
          <w:rFonts w:ascii="Arial" w:hAnsi="Arial" w:cs="Arial"/>
        </w:rPr>
        <w:t>, se acepta que las ponderaciones aquí utilizadas para éstos son sólo ilustrativas</w:t>
      </w:r>
      <w:r w:rsidR="00D6391C" w:rsidRPr="007148A6">
        <w:rPr>
          <w:rFonts w:ascii="Arial" w:hAnsi="Arial" w:cs="Arial"/>
        </w:rPr>
        <w:t xml:space="preserve"> (aunque suficientemente razonables)</w:t>
      </w:r>
      <w:r w:rsidRPr="007148A6">
        <w:rPr>
          <w:rFonts w:ascii="Arial" w:hAnsi="Arial" w:cs="Arial"/>
        </w:rPr>
        <w:t xml:space="preserve">. Las que </w:t>
      </w:r>
      <w:r w:rsidR="00D6391C" w:rsidRPr="007148A6">
        <w:rPr>
          <w:rFonts w:ascii="Arial" w:hAnsi="Arial" w:cs="Arial"/>
        </w:rPr>
        <w:t>se</w:t>
      </w:r>
      <w:r w:rsidRPr="007148A6">
        <w:rPr>
          <w:rFonts w:ascii="Arial" w:hAnsi="Arial" w:cs="Arial"/>
        </w:rPr>
        <w:t xml:space="preserve"> adopte</w:t>
      </w:r>
      <w:r w:rsidR="00D6391C" w:rsidRPr="007148A6">
        <w:rPr>
          <w:rFonts w:ascii="Arial" w:hAnsi="Arial" w:cs="Arial"/>
        </w:rPr>
        <w:t>n en</w:t>
      </w:r>
      <w:r w:rsidRPr="007148A6">
        <w:rPr>
          <w:rFonts w:ascii="Arial" w:hAnsi="Arial" w:cs="Arial"/>
        </w:rPr>
        <w:t xml:space="preserve"> la norma que finalmente se sancione responderá a criterios políticos y práctico</w:t>
      </w:r>
      <w:r w:rsidR="00D6391C" w:rsidRPr="007148A6">
        <w:rPr>
          <w:rFonts w:ascii="Arial" w:hAnsi="Arial" w:cs="Arial"/>
        </w:rPr>
        <w:t>s</w:t>
      </w:r>
      <w:r w:rsidRPr="007148A6">
        <w:rPr>
          <w:rFonts w:ascii="Arial" w:hAnsi="Arial" w:cs="Arial"/>
        </w:rPr>
        <w:t xml:space="preserve"> y, se espera, suficientemente racionales como para darle una institucionalidad duradera.</w:t>
      </w:r>
    </w:p>
    <w:p w14:paraId="520AE471" w14:textId="77777777" w:rsidR="008817D0" w:rsidRDefault="008817D0" w:rsidP="006E4612">
      <w:pPr>
        <w:autoSpaceDE w:val="0"/>
        <w:autoSpaceDN w:val="0"/>
        <w:adjustRightInd w:val="0"/>
        <w:spacing w:before="120" w:after="120"/>
        <w:jc w:val="both"/>
        <w:rPr>
          <w:rFonts w:ascii="Arial" w:hAnsi="Arial" w:cs="Arial"/>
        </w:rPr>
      </w:pPr>
      <w:r w:rsidRPr="007148A6">
        <w:rPr>
          <w:rFonts w:ascii="Arial" w:hAnsi="Arial" w:cs="Arial"/>
        </w:rPr>
        <w:t>Finalmente, cabe apuntar que sería recomendable que el nuevo régimen de coparticipación federal que se diseñe incluya otras normas referidas a la responsabilidad fiscal como la constitución de un fondo anticíclico</w:t>
      </w:r>
      <w:r w:rsidR="00C646E2" w:rsidRPr="007148A6">
        <w:rPr>
          <w:rFonts w:ascii="Arial" w:hAnsi="Arial" w:cs="Arial"/>
        </w:rPr>
        <w:t xml:space="preserve"> (depositado en el Banco Central y con competencia de éste en su disposición)</w:t>
      </w:r>
      <w:r w:rsidRPr="007148A6">
        <w:rPr>
          <w:rFonts w:ascii="Arial" w:hAnsi="Arial" w:cs="Arial"/>
        </w:rPr>
        <w:t xml:space="preserve"> y otro para atender emergencias. Sería recomendable que este último fuera administrado por un organismo o comisión del órgano fiscal federal, en lugar del actual fondo de Aportes del Tesoro Nacional que puede estar sujeto a aplicaciones de carácter clientelar.</w:t>
      </w:r>
      <w:r w:rsidRPr="007148A6">
        <w:rPr>
          <w:rStyle w:val="Refdenotaalpie"/>
          <w:rFonts w:ascii="Arial" w:hAnsi="Arial" w:cs="Arial"/>
        </w:rPr>
        <w:footnoteReference w:id="25"/>
      </w:r>
    </w:p>
    <w:p w14:paraId="4EDACBCC" w14:textId="77777777" w:rsidR="00497710" w:rsidRDefault="00497710" w:rsidP="006E4612">
      <w:pPr>
        <w:autoSpaceDE w:val="0"/>
        <w:autoSpaceDN w:val="0"/>
        <w:adjustRightInd w:val="0"/>
        <w:spacing w:before="120" w:after="120"/>
        <w:jc w:val="both"/>
        <w:rPr>
          <w:rFonts w:ascii="Arial" w:hAnsi="Arial" w:cs="Arial"/>
        </w:rPr>
      </w:pPr>
    </w:p>
    <w:p w14:paraId="4602AAB9" w14:textId="3E57F18F" w:rsidR="00497710" w:rsidRPr="007148A6" w:rsidRDefault="00497710" w:rsidP="006E4612">
      <w:pPr>
        <w:autoSpaceDE w:val="0"/>
        <w:autoSpaceDN w:val="0"/>
        <w:adjustRightInd w:val="0"/>
        <w:spacing w:before="120" w:after="120"/>
        <w:jc w:val="both"/>
        <w:rPr>
          <w:rFonts w:ascii="Arial" w:hAnsi="Arial" w:cs="Arial"/>
        </w:rPr>
        <w:sectPr w:rsidR="00497710" w:rsidRPr="007148A6" w:rsidSect="005304FD">
          <w:headerReference w:type="even" r:id="rId16"/>
          <w:headerReference w:type="default" r:id="rId17"/>
          <w:footerReference w:type="even" r:id="rId18"/>
          <w:footerReference w:type="default" r:id="rId19"/>
          <w:headerReference w:type="first" r:id="rId20"/>
          <w:footerReference w:type="first" r:id="rId21"/>
          <w:pgSz w:w="12240" w:h="15840"/>
          <w:pgMar w:top="1702" w:right="1183" w:bottom="1135" w:left="1701" w:header="708" w:footer="708" w:gutter="0"/>
          <w:cols w:space="708"/>
          <w:docGrid w:linePitch="360"/>
        </w:sectPr>
      </w:pPr>
    </w:p>
    <w:p w14:paraId="15FFF241" w14:textId="05D7799A" w:rsidR="005F479F" w:rsidRPr="00497710" w:rsidRDefault="005F479F" w:rsidP="00497710">
      <w:pPr>
        <w:pStyle w:val="Prrafodelista"/>
        <w:numPr>
          <w:ilvl w:val="0"/>
          <w:numId w:val="1"/>
        </w:numPr>
        <w:autoSpaceDE w:val="0"/>
        <w:autoSpaceDN w:val="0"/>
        <w:adjustRightInd w:val="0"/>
        <w:spacing w:before="120" w:after="120"/>
        <w:jc w:val="both"/>
        <w:rPr>
          <w:rFonts w:ascii="Arial" w:hAnsi="Arial" w:cs="Arial"/>
          <w:b/>
          <w:bCs/>
        </w:rPr>
      </w:pPr>
      <w:r w:rsidRPr="00497710">
        <w:rPr>
          <w:rFonts w:ascii="Arial" w:hAnsi="Arial" w:cs="Arial"/>
          <w:b/>
          <w:bCs/>
        </w:rPr>
        <w:lastRenderedPageBreak/>
        <w:t>Ejercicios de Simulación</w:t>
      </w:r>
    </w:p>
    <w:p w14:paraId="16FD6BCD" w14:textId="77777777" w:rsidR="005F479F" w:rsidRPr="007148A6" w:rsidRDefault="005F479F" w:rsidP="005F479F">
      <w:pPr>
        <w:pStyle w:val="Prrafodelista"/>
        <w:autoSpaceDE w:val="0"/>
        <w:autoSpaceDN w:val="0"/>
        <w:adjustRightInd w:val="0"/>
        <w:spacing w:before="120" w:after="120"/>
        <w:jc w:val="center"/>
        <w:rPr>
          <w:rFonts w:ascii="Arial" w:hAnsi="Arial" w:cs="Arial"/>
          <w:b/>
          <w:bCs/>
        </w:rPr>
      </w:pPr>
      <w:r w:rsidRPr="007148A6">
        <w:rPr>
          <w:rFonts w:ascii="Arial" w:hAnsi="Arial" w:cs="Arial"/>
          <w:b/>
          <w:bCs/>
        </w:rPr>
        <w:t>Cuadro 6 – Ejercicio de Simulación 1</w:t>
      </w:r>
    </w:p>
    <w:p w14:paraId="0908C942" w14:textId="629E69FF" w:rsidR="00C27C83" w:rsidRPr="007148A6" w:rsidRDefault="005F479F" w:rsidP="006E4612">
      <w:pPr>
        <w:autoSpaceDE w:val="0"/>
        <w:autoSpaceDN w:val="0"/>
        <w:adjustRightInd w:val="0"/>
        <w:spacing w:before="120" w:after="120"/>
        <w:jc w:val="both"/>
        <w:rPr>
          <w:rFonts w:ascii="Arial" w:hAnsi="Arial" w:cs="Arial"/>
          <w:b/>
          <w:bCs/>
        </w:rPr>
      </w:pPr>
      <w:r w:rsidRPr="007148A6">
        <w:rPr>
          <w:rFonts w:ascii="Arial" w:hAnsi="Arial" w:cs="Arial"/>
          <w:noProof/>
          <w:lang w:eastAsia="es-AR"/>
        </w:rPr>
        <w:drawing>
          <wp:inline distT="0" distB="0" distL="0" distR="0" wp14:anchorId="31174BB7" wp14:editId="6AA9705C">
            <wp:extent cx="8062970" cy="42862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72865" cy="4291510"/>
                    </a:xfrm>
                    <a:prstGeom prst="rect">
                      <a:avLst/>
                    </a:prstGeom>
                    <a:noFill/>
                    <a:ln>
                      <a:noFill/>
                    </a:ln>
                  </pic:spPr>
                </pic:pic>
              </a:graphicData>
            </a:graphic>
          </wp:inline>
        </w:drawing>
      </w:r>
    </w:p>
    <w:p w14:paraId="725534CC" w14:textId="49D77C28" w:rsidR="005F479F" w:rsidRPr="007148A6" w:rsidRDefault="005F479F" w:rsidP="006E4612">
      <w:pPr>
        <w:autoSpaceDE w:val="0"/>
        <w:autoSpaceDN w:val="0"/>
        <w:adjustRightInd w:val="0"/>
        <w:spacing w:before="120" w:after="120"/>
        <w:jc w:val="both"/>
        <w:rPr>
          <w:rFonts w:ascii="Arial" w:hAnsi="Arial" w:cs="Arial"/>
          <w:b/>
          <w:bCs/>
        </w:rPr>
      </w:pPr>
    </w:p>
    <w:p w14:paraId="6AC2E2B8" w14:textId="5180A507" w:rsidR="005F479F" w:rsidRPr="007148A6" w:rsidRDefault="005F479F" w:rsidP="006E4612">
      <w:pPr>
        <w:autoSpaceDE w:val="0"/>
        <w:autoSpaceDN w:val="0"/>
        <w:adjustRightInd w:val="0"/>
        <w:spacing w:before="120" w:after="120"/>
        <w:jc w:val="both"/>
        <w:rPr>
          <w:rFonts w:ascii="Arial" w:hAnsi="Arial" w:cs="Arial"/>
          <w:b/>
          <w:bCs/>
        </w:rPr>
      </w:pPr>
    </w:p>
    <w:p w14:paraId="4F47E4DE" w14:textId="142404FF" w:rsidR="005F479F" w:rsidRPr="007148A6" w:rsidRDefault="005F479F" w:rsidP="006E4612">
      <w:pPr>
        <w:autoSpaceDE w:val="0"/>
        <w:autoSpaceDN w:val="0"/>
        <w:adjustRightInd w:val="0"/>
        <w:spacing w:before="120" w:after="120"/>
        <w:jc w:val="both"/>
        <w:rPr>
          <w:rFonts w:ascii="Arial" w:hAnsi="Arial" w:cs="Arial"/>
          <w:b/>
          <w:bCs/>
        </w:rPr>
      </w:pPr>
    </w:p>
    <w:p w14:paraId="44E07723" w14:textId="72476502" w:rsidR="005F479F" w:rsidRPr="007148A6" w:rsidRDefault="005F479F" w:rsidP="006E4612">
      <w:pPr>
        <w:autoSpaceDE w:val="0"/>
        <w:autoSpaceDN w:val="0"/>
        <w:adjustRightInd w:val="0"/>
        <w:spacing w:before="120" w:after="120"/>
        <w:jc w:val="both"/>
        <w:rPr>
          <w:rFonts w:ascii="Arial" w:hAnsi="Arial" w:cs="Arial"/>
          <w:b/>
          <w:bCs/>
        </w:rPr>
      </w:pPr>
    </w:p>
    <w:p w14:paraId="515AAC7D" w14:textId="1E98167F" w:rsidR="005F479F" w:rsidRPr="007148A6" w:rsidRDefault="005F479F" w:rsidP="006E4612">
      <w:pPr>
        <w:autoSpaceDE w:val="0"/>
        <w:autoSpaceDN w:val="0"/>
        <w:adjustRightInd w:val="0"/>
        <w:spacing w:before="120" w:after="120"/>
        <w:jc w:val="both"/>
        <w:rPr>
          <w:rFonts w:ascii="Arial" w:hAnsi="Arial" w:cs="Arial"/>
          <w:b/>
          <w:bCs/>
        </w:rPr>
      </w:pPr>
    </w:p>
    <w:p w14:paraId="616607C7" w14:textId="77777777" w:rsidR="005F479F" w:rsidRPr="007148A6" w:rsidRDefault="005F479F" w:rsidP="005F479F">
      <w:pPr>
        <w:jc w:val="center"/>
        <w:rPr>
          <w:rFonts w:ascii="Arial" w:hAnsi="Arial" w:cs="Arial"/>
          <w:b/>
          <w:bCs/>
        </w:rPr>
      </w:pPr>
      <w:r w:rsidRPr="007148A6">
        <w:rPr>
          <w:rFonts w:ascii="Arial" w:hAnsi="Arial" w:cs="Arial"/>
          <w:b/>
          <w:bCs/>
        </w:rPr>
        <w:t>Cuadro 7 – Ejercicio de Simulación 2</w:t>
      </w:r>
    </w:p>
    <w:p w14:paraId="0439ABE2" w14:textId="77777777" w:rsidR="00CD45D8" w:rsidRPr="007148A6" w:rsidRDefault="005F479F" w:rsidP="006E4612">
      <w:pPr>
        <w:autoSpaceDE w:val="0"/>
        <w:autoSpaceDN w:val="0"/>
        <w:adjustRightInd w:val="0"/>
        <w:spacing w:before="120" w:after="120"/>
        <w:jc w:val="both"/>
        <w:rPr>
          <w:rFonts w:ascii="Arial" w:hAnsi="Arial" w:cs="Arial"/>
          <w:b/>
          <w:bCs/>
        </w:rPr>
        <w:sectPr w:rsidR="00CD45D8" w:rsidRPr="007148A6" w:rsidSect="002B02D8">
          <w:pgSz w:w="15840" w:h="12240" w:orient="landscape"/>
          <w:pgMar w:top="1440" w:right="1440" w:bottom="1440" w:left="1701" w:header="708" w:footer="708" w:gutter="0"/>
          <w:cols w:space="708"/>
          <w:docGrid w:linePitch="360"/>
        </w:sectPr>
      </w:pPr>
      <w:r w:rsidRPr="007148A6">
        <w:rPr>
          <w:rFonts w:ascii="Arial" w:hAnsi="Arial" w:cs="Arial"/>
          <w:noProof/>
          <w:lang w:eastAsia="es-AR"/>
        </w:rPr>
        <w:drawing>
          <wp:inline distT="0" distB="0" distL="0" distR="0" wp14:anchorId="2A8DBA4E" wp14:editId="7F11EE14">
            <wp:extent cx="8063230" cy="48291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67044" cy="4831459"/>
                    </a:xfrm>
                    <a:prstGeom prst="rect">
                      <a:avLst/>
                    </a:prstGeom>
                    <a:noFill/>
                    <a:ln>
                      <a:noFill/>
                    </a:ln>
                  </pic:spPr>
                </pic:pic>
              </a:graphicData>
            </a:graphic>
          </wp:inline>
        </w:drawing>
      </w:r>
    </w:p>
    <w:p w14:paraId="4BA3CCDE" w14:textId="51D82E84" w:rsidR="005F479F" w:rsidRPr="007148A6" w:rsidRDefault="00CD45D8" w:rsidP="006E4612">
      <w:pPr>
        <w:autoSpaceDE w:val="0"/>
        <w:autoSpaceDN w:val="0"/>
        <w:adjustRightInd w:val="0"/>
        <w:spacing w:before="120" w:after="120"/>
        <w:jc w:val="both"/>
        <w:rPr>
          <w:rFonts w:ascii="Arial" w:hAnsi="Arial" w:cs="Arial"/>
          <w:b/>
          <w:bCs/>
        </w:rPr>
      </w:pPr>
      <w:r w:rsidRPr="007148A6">
        <w:rPr>
          <w:rFonts w:ascii="Arial" w:hAnsi="Arial" w:cs="Arial"/>
          <w:b/>
          <w:bCs/>
        </w:rPr>
        <w:lastRenderedPageBreak/>
        <w:t>Bibliografía</w:t>
      </w:r>
    </w:p>
    <w:p w14:paraId="34193963" w14:textId="2D3494B1" w:rsidR="00357F23" w:rsidRPr="007148A6" w:rsidRDefault="00AD6516" w:rsidP="00AD6516">
      <w:pPr>
        <w:pStyle w:val="Textonotapie"/>
        <w:spacing w:after="60"/>
        <w:ind w:left="709" w:hanging="709"/>
        <w:jc w:val="both"/>
        <w:rPr>
          <w:rFonts w:ascii="Arial" w:hAnsi="Arial" w:cs="Arial"/>
          <w:caps/>
          <w:sz w:val="22"/>
          <w:szCs w:val="22"/>
        </w:rPr>
      </w:pPr>
      <w:r w:rsidRPr="00497710">
        <w:rPr>
          <w:rFonts w:ascii="Arial" w:hAnsi="Arial" w:cs="Arial"/>
          <w:caps/>
          <w:sz w:val="22"/>
          <w:szCs w:val="22"/>
        </w:rPr>
        <w:t xml:space="preserve">Argentina, </w:t>
      </w:r>
      <w:r w:rsidR="00357F23" w:rsidRPr="00497710">
        <w:rPr>
          <w:rFonts w:ascii="Arial" w:hAnsi="Arial" w:cs="Arial"/>
          <w:caps/>
          <w:sz w:val="22"/>
          <w:szCs w:val="22"/>
        </w:rPr>
        <w:t>C</w:t>
      </w:r>
      <w:r w:rsidRPr="00497710">
        <w:rPr>
          <w:rFonts w:ascii="Arial" w:hAnsi="Arial" w:cs="Arial"/>
          <w:caps/>
          <w:sz w:val="22"/>
          <w:szCs w:val="22"/>
        </w:rPr>
        <w:t>onsejo Empresario Argentino</w:t>
      </w:r>
      <w:r w:rsidRPr="007148A6">
        <w:rPr>
          <w:rFonts w:ascii="Arial" w:hAnsi="Arial" w:cs="Arial"/>
          <w:sz w:val="22"/>
          <w:szCs w:val="22"/>
        </w:rPr>
        <w:t xml:space="preserve"> (2000). </w:t>
      </w:r>
      <w:r w:rsidR="00357F23" w:rsidRPr="007148A6">
        <w:rPr>
          <w:rFonts w:ascii="Arial" w:hAnsi="Arial" w:cs="Arial"/>
          <w:i/>
          <w:sz w:val="22"/>
          <w:szCs w:val="22"/>
        </w:rPr>
        <w:t>Propuesta de federalismo fiscal</w:t>
      </w:r>
      <w:r w:rsidRPr="007148A6">
        <w:rPr>
          <w:rFonts w:ascii="Arial" w:hAnsi="Arial" w:cs="Arial"/>
          <w:i/>
          <w:sz w:val="22"/>
          <w:szCs w:val="22"/>
        </w:rPr>
        <w:t>.</w:t>
      </w:r>
      <w:r w:rsidRPr="007148A6">
        <w:rPr>
          <w:rFonts w:ascii="Arial" w:hAnsi="Arial" w:cs="Arial"/>
          <w:sz w:val="22"/>
          <w:szCs w:val="22"/>
        </w:rPr>
        <w:t xml:space="preserve"> Buenos Aires.</w:t>
      </w:r>
    </w:p>
    <w:p w14:paraId="04B40723" w14:textId="2D8D9B7A" w:rsidR="00357F23" w:rsidRPr="007148A6" w:rsidRDefault="00AD6516" w:rsidP="00AD6516">
      <w:pPr>
        <w:pStyle w:val="Textonotapie"/>
        <w:spacing w:after="60"/>
        <w:ind w:left="709" w:hanging="709"/>
        <w:jc w:val="both"/>
        <w:rPr>
          <w:rFonts w:ascii="Arial" w:hAnsi="Arial" w:cs="Arial"/>
          <w:sz w:val="22"/>
          <w:szCs w:val="22"/>
        </w:rPr>
      </w:pPr>
      <w:r w:rsidRPr="007148A6">
        <w:rPr>
          <w:rFonts w:ascii="Arial" w:hAnsi="Arial" w:cs="Arial"/>
          <w:caps/>
          <w:sz w:val="22"/>
          <w:szCs w:val="22"/>
        </w:rPr>
        <w:t>Musgrave,</w:t>
      </w:r>
      <w:r w:rsidR="00357F23" w:rsidRPr="007148A6">
        <w:rPr>
          <w:rFonts w:ascii="Arial" w:hAnsi="Arial" w:cs="Arial"/>
          <w:caps/>
          <w:sz w:val="22"/>
          <w:szCs w:val="22"/>
        </w:rPr>
        <w:t xml:space="preserve"> R. A. y Musgrave,</w:t>
      </w:r>
      <w:r w:rsidRPr="007148A6">
        <w:rPr>
          <w:rFonts w:ascii="Arial" w:hAnsi="Arial" w:cs="Arial"/>
          <w:caps/>
          <w:sz w:val="22"/>
          <w:szCs w:val="22"/>
        </w:rPr>
        <w:t xml:space="preserve"> P. B.</w:t>
      </w:r>
      <w:r w:rsidRPr="007148A6">
        <w:rPr>
          <w:rFonts w:ascii="Arial" w:hAnsi="Arial" w:cs="Arial"/>
          <w:sz w:val="22"/>
          <w:szCs w:val="22"/>
        </w:rPr>
        <w:t xml:space="preserve"> (1991). </w:t>
      </w:r>
      <w:r w:rsidR="00357F23" w:rsidRPr="007148A6">
        <w:rPr>
          <w:rFonts w:ascii="Arial" w:hAnsi="Arial" w:cs="Arial"/>
          <w:i/>
          <w:iCs/>
          <w:sz w:val="22"/>
          <w:szCs w:val="22"/>
        </w:rPr>
        <w:t>Hacienda pública teórica y aplicada</w:t>
      </w:r>
      <w:r w:rsidR="00357F23" w:rsidRPr="007148A6">
        <w:rPr>
          <w:rFonts w:ascii="Arial" w:hAnsi="Arial" w:cs="Arial"/>
          <w:sz w:val="22"/>
          <w:szCs w:val="22"/>
        </w:rPr>
        <w:t xml:space="preserve"> </w:t>
      </w:r>
      <w:r w:rsidRPr="007148A6">
        <w:rPr>
          <w:rFonts w:ascii="Arial" w:hAnsi="Arial" w:cs="Arial"/>
          <w:sz w:val="22"/>
          <w:szCs w:val="22"/>
        </w:rPr>
        <w:t>(</w:t>
      </w:r>
      <w:r w:rsidR="00357F23" w:rsidRPr="007148A6">
        <w:rPr>
          <w:rFonts w:ascii="Arial" w:hAnsi="Arial" w:cs="Arial"/>
          <w:sz w:val="22"/>
          <w:szCs w:val="22"/>
        </w:rPr>
        <w:t>5ta. ed.</w:t>
      </w:r>
      <w:r w:rsidRPr="007148A6">
        <w:rPr>
          <w:rFonts w:ascii="Arial" w:hAnsi="Arial" w:cs="Arial"/>
          <w:sz w:val="22"/>
          <w:szCs w:val="22"/>
        </w:rPr>
        <w:t>). Madrid; McGraw Hill.</w:t>
      </w:r>
    </w:p>
    <w:p w14:paraId="5AE7258C" w14:textId="0A1FC2A7" w:rsidR="00357F23" w:rsidRPr="007148A6" w:rsidRDefault="00357F23" w:rsidP="00AD6516">
      <w:pPr>
        <w:pStyle w:val="Textonotapie"/>
        <w:spacing w:after="60"/>
        <w:ind w:left="709" w:hanging="709"/>
        <w:jc w:val="both"/>
        <w:rPr>
          <w:rFonts w:ascii="Arial" w:hAnsi="Arial" w:cs="Arial"/>
          <w:sz w:val="22"/>
          <w:szCs w:val="22"/>
        </w:rPr>
      </w:pPr>
      <w:r w:rsidRPr="007148A6">
        <w:rPr>
          <w:rFonts w:ascii="Arial" w:hAnsi="Arial" w:cs="Arial"/>
          <w:caps/>
          <w:sz w:val="22"/>
          <w:szCs w:val="22"/>
        </w:rPr>
        <w:t>Musgrave</w:t>
      </w:r>
      <w:r w:rsidR="00AD6516" w:rsidRPr="007148A6">
        <w:rPr>
          <w:rFonts w:ascii="Arial" w:hAnsi="Arial" w:cs="Arial"/>
          <w:caps/>
          <w:sz w:val="22"/>
          <w:szCs w:val="22"/>
        </w:rPr>
        <w:t>, R. A.</w:t>
      </w:r>
      <w:r w:rsidR="00AD6516" w:rsidRPr="007148A6">
        <w:rPr>
          <w:rFonts w:ascii="Arial" w:hAnsi="Arial" w:cs="Arial"/>
          <w:sz w:val="22"/>
          <w:szCs w:val="22"/>
        </w:rPr>
        <w:t xml:space="preserve"> (1973).</w:t>
      </w:r>
      <w:r w:rsidRPr="007148A6">
        <w:rPr>
          <w:rFonts w:ascii="Arial" w:hAnsi="Arial" w:cs="Arial"/>
          <w:sz w:val="22"/>
          <w:szCs w:val="22"/>
        </w:rPr>
        <w:t xml:space="preserve"> </w:t>
      </w:r>
      <w:r w:rsidRPr="007148A6">
        <w:rPr>
          <w:rFonts w:ascii="Arial" w:hAnsi="Arial" w:cs="Arial"/>
          <w:i/>
          <w:iCs/>
          <w:sz w:val="22"/>
          <w:szCs w:val="22"/>
        </w:rPr>
        <w:t>Sistemas fi</w:t>
      </w:r>
      <w:r w:rsidR="00AD6516" w:rsidRPr="007148A6">
        <w:rPr>
          <w:rFonts w:ascii="Arial" w:hAnsi="Arial" w:cs="Arial"/>
          <w:i/>
          <w:iCs/>
          <w:sz w:val="22"/>
          <w:szCs w:val="22"/>
        </w:rPr>
        <w:t>s</w:t>
      </w:r>
      <w:r w:rsidRPr="007148A6">
        <w:rPr>
          <w:rFonts w:ascii="Arial" w:hAnsi="Arial" w:cs="Arial"/>
          <w:i/>
          <w:iCs/>
          <w:sz w:val="22"/>
          <w:szCs w:val="22"/>
        </w:rPr>
        <w:t>cales</w:t>
      </w:r>
      <w:r w:rsidR="00AD6516" w:rsidRPr="007148A6">
        <w:rPr>
          <w:rFonts w:ascii="Arial" w:hAnsi="Arial" w:cs="Arial"/>
          <w:i/>
          <w:iCs/>
          <w:sz w:val="22"/>
          <w:szCs w:val="22"/>
        </w:rPr>
        <w:t>.</w:t>
      </w:r>
      <w:r w:rsidRPr="007148A6">
        <w:rPr>
          <w:rFonts w:ascii="Arial" w:hAnsi="Arial" w:cs="Arial"/>
          <w:sz w:val="22"/>
          <w:szCs w:val="22"/>
        </w:rPr>
        <w:t xml:space="preserve"> </w:t>
      </w:r>
      <w:r w:rsidR="00AD6516" w:rsidRPr="007148A6">
        <w:rPr>
          <w:rFonts w:ascii="Arial" w:hAnsi="Arial" w:cs="Arial"/>
          <w:sz w:val="22"/>
          <w:szCs w:val="22"/>
        </w:rPr>
        <w:t>Madrid;</w:t>
      </w:r>
      <w:r w:rsidRPr="007148A6">
        <w:rPr>
          <w:rFonts w:ascii="Arial" w:hAnsi="Arial" w:cs="Arial"/>
          <w:sz w:val="22"/>
          <w:szCs w:val="22"/>
        </w:rPr>
        <w:t xml:space="preserve"> Aguilar</w:t>
      </w:r>
      <w:r w:rsidR="00AD6516" w:rsidRPr="007148A6">
        <w:rPr>
          <w:rFonts w:ascii="Arial" w:hAnsi="Arial" w:cs="Arial"/>
          <w:sz w:val="22"/>
          <w:szCs w:val="22"/>
        </w:rPr>
        <w:t>.</w:t>
      </w:r>
    </w:p>
    <w:p w14:paraId="62D68632" w14:textId="6EF8E018" w:rsidR="00357F23" w:rsidRPr="007148A6" w:rsidRDefault="00AD6516" w:rsidP="00AD6516">
      <w:pPr>
        <w:pStyle w:val="Textonotapie"/>
        <w:spacing w:after="60"/>
        <w:ind w:left="709" w:hanging="709"/>
        <w:jc w:val="both"/>
        <w:rPr>
          <w:rFonts w:ascii="Arial" w:hAnsi="Arial" w:cs="Arial"/>
          <w:sz w:val="22"/>
          <w:szCs w:val="22"/>
        </w:rPr>
      </w:pPr>
      <w:r w:rsidRPr="007148A6">
        <w:rPr>
          <w:rFonts w:ascii="Arial" w:hAnsi="Arial" w:cs="Arial"/>
          <w:caps/>
          <w:sz w:val="22"/>
          <w:szCs w:val="22"/>
        </w:rPr>
        <w:t>Porto</w:t>
      </w:r>
      <w:r w:rsidR="00357F23" w:rsidRPr="007148A6">
        <w:rPr>
          <w:rFonts w:ascii="Arial" w:hAnsi="Arial" w:cs="Arial"/>
          <w:caps/>
          <w:sz w:val="22"/>
          <w:szCs w:val="22"/>
        </w:rPr>
        <w:t>, A.</w:t>
      </w:r>
      <w:r w:rsidRPr="007148A6">
        <w:rPr>
          <w:rFonts w:ascii="Arial" w:hAnsi="Arial" w:cs="Arial"/>
          <w:sz w:val="22"/>
          <w:szCs w:val="22"/>
        </w:rPr>
        <w:t xml:space="preserve"> (2018).</w:t>
      </w:r>
      <w:r w:rsidR="00357F23" w:rsidRPr="007148A6">
        <w:rPr>
          <w:rFonts w:ascii="Arial" w:hAnsi="Arial" w:cs="Arial"/>
          <w:sz w:val="22"/>
          <w:szCs w:val="22"/>
        </w:rPr>
        <w:t xml:space="preserve"> </w:t>
      </w:r>
      <w:r w:rsidR="00357F23" w:rsidRPr="007148A6">
        <w:rPr>
          <w:rFonts w:ascii="Arial" w:hAnsi="Arial" w:cs="Arial"/>
          <w:i/>
          <w:sz w:val="22"/>
          <w:szCs w:val="22"/>
        </w:rPr>
        <w:t>Transferencias intergubernamentales y disparidades fiscales a nivel subnacional en Argentina</w:t>
      </w:r>
      <w:r w:rsidRPr="007148A6">
        <w:rPr>
          <w:rFonts w:ascii="Arial" w:hAnsi="Arial" w:cs="Arial"/>
          <w:i/>
          <w:sz w:val="22"/>
          <w:szCs w:val="22"/>
        </w:rPr>
        <w:t>.</w:t>
      </w:r>
      <w:r w:rsidR="00357F23" w:rsidRPr="007148A6">
        <w:rPr>
          <w:rFonts w:ascii="Arial" w:hAnsi="Arial" w:cs="Arial"/>
          <w:i/>
          <w:sz w:val="22"/>
          <w:szCs w:val="22"/>
        </w:rPr>
        <w:t xml:space="preserve"> </w:t>
      </w:r>
      <w:r w:rsidR="00357F23" w:rsidRPr="007148A6">
        <w:rPr>
          <w:rFonts w:ascii="Arial" w:hAnsi="Arial" w:cs="Arial"/>
          <w:sz w:val="22"/>
          <w:szCs w:val="22"/>
        </w:rPr>
        <w:t>Documento para discusión N</w:t>
      </w:r>
      <w:r w:rsidR="00357F23" w:rsidRPr="007148A6">
        <w:rPr>
          <w:rFonts w:ascii="Arial" w:hAnsi="Arial" w:cs="Arial"/>
          <w:sz w:val="22"/>
          <w:szCs w:val="22"/>
          <w:vertAlign w:val="superscript"/>
        </w:rPr>
        <w:t xml:space="preserve">o </w:t>
      </w:r>
      <w:r w:rsidRPr="007148A6">
        <w:rPr>
          <w:rFonts w:ascii="Arial" w:hAnsi="Arial" w:cs="Arial"/>
          <w:sz w:val="22"/>
          <w:szCs w:val="22"/>
        </w:rPr>
        <w:t>IDB-DP-494, BID.</w:t>
      </w:r>
    </w:p>
    <w:p w14:paraId="7788CF36" w14:textId="2052A1E2" w:rsidR="00CD45D8" w:rsidRPr="007148A6" w:rsidRDefault="00CD45D8" w:rsidP="00AD6516">
      <w:pPr>
        <w:pStyle w:val="Textonotapie"/>
        <w:spacing w:before="60" w:after="60"/>
        <w:ind w:left="709" w:hanging="709"/>
        <w:jc w:val="both"/>
        <w:rPr>
          <w:rFonts w:ascii="Arial" w:hAnsi="Arial" w:cs="Arial"/>
          <w:sz w:val="22"/>
          <w:szCs w:val="22"/>
        </w:rPr>
      </w:pPr>
      <w:r w:rsidRPr="007148A6">
        <w:rPr>
          <w:rFonts w:ascii="Arial" w:hAnsi="Arial" w:cs="Arial"/>
          <w:caps/>
          <w:sz w:val="22"/>
          <w:szCs w:val="22"/>
        </w:rPr>
        <w:t>R</w:t>
      </w:r>
      <w:r w:rsidR="00AD6516" w:rsidRPr="007148A6">
        <w:rPr>
          <w:rFonts w:ascii="Arial" w:hAnsi="Arial" w:cs="Arial"/>
          <w:caps/>
          <w:sz w:val="22"/>
          <w:szCs w:val="22"/>
        </w:rPr>
        <w:t>uarte</w:t>
      </w:r>
      <w:r w:rsidRPr="007148A6">
        <w:rPr>
          <w:rFonts w:ascii="Arial" w:hAnsi="Arial" w:cs="Arial"/>
          <w:caps/>
          <w:sz w:val="22"/>
          <w:szCs w:val="22"/>
        </w:rPr>
        <w:t xml:space="preserve"> B</w:t>
      </w:r>
      <w:r w:rsidR="00342B8B" w:rsidRPr="007148A6">
        <w:rPr>
          <w:rFonts w:ascii="Arial" w:hAnsi="Arial" w:cs="Arial"/>
          <w:caps/>
          <w:sz w:val="22"/>
          <w:szCs w:val="22"/>
        </w:rPr>
        <w:t>AZÁN</w:t>
      </w:r>
      <w:r w:rsidR="00AD6516" w:rsidRPr="007148A6">
        <w:rPr>
          <w:rFonts w:ascii="Arial" w:hAnsi="Arial" w:cs="Arial"/>
          <w:caps/>
          <w:sz w:val="22"/>
          <w:szCs w:val="22"/>
        </w:rPr>
        <w:t>, R.</w:t>
      </w:r>
      <w:r w:rsidR="00AD6516" w:rsidRPr="007148A6">
        <w:rPr>
          <w:rFonts w:ascii="Arial" w:hAnsi="Arial" w:cs="Arial"/>
          <w:sz w:val="22"/>
          <w:szCs w:val="22"/>
        </w:rPr>
        <w:t xml:space="preserve"> (2016). </w:t>
      </w:r>
      <w:r w:rsidRPr="007148A6">
        <w:rPr>
          <w:rFonts w:ascii="Arial" w:hAnsi="Arial" w:cs="Arial"/>
          <w:i/>
          <w:sz w:val="22"/>
          <w:szCs w:val="22"/>
        </w:rPr>
        <w:t>Algunos mitos y realidades del fed</w:t>
      </w:r>
      <w:r w:rsidR="00AD6516" w:rsidRPr="007148A6">
        <w:rPr>
          <w:rFonts w:ascii="Arial" w:hAnsi="Arial" w:cs="Arial"/>
          <w:i/>
          <w:sz w:val="22"/>
          <w:szCs w:val="22"/>
        </w:rPr>
        <w:t>eralismo fiscal argentino,</w:t>
      </w:r>
      <w:r w:rsidRPr="007148A6">
        <w:rPr>
          <w:rFonts w:ascii="Arial" w:hAnsi="Arial" w:cs="Arial"/>
          <w:sz w:val="22"/>
          <w:szCs w:val="22"/>
        </w:rPr>
        <w:t xml:space="preserve"> </w:t>
      </w:r>
      <w:r w:rsidR="00AD6516" w:rsidRPr="007148A6">
        <w:rPr>
          <w:rFonts w:ascii="Arial" w:hAnsi="Arial" w:cs="Arial"/>
          <w:sz w:val="22"/>
          <w:szCs w:val="22"/>
        </w:rPr>
        <w:t>49°</w:t>
      </w:r>
      <w:r w:rsidRPr="007148A6">
        <w:rPr>
          <w:rFonts w:ascii="Arial" w:hAnsi="Arial" w:cs="Arial"/>
          <w:sz w:val="22"/>
          <w:szCs w:val="22"/>
        </w:rPr>
        <w:t xml:space="preserve"> Jornadas Internacionales de Finanzas Públicas</w:t>
      </w:r>
      <w:r w:rsidR="00AD6516" w:rsidRPr="007148A6">
        <w:rPr>
          <w:rFonts w:ascii="Arial" w:hAnsi="Arial" w:cs="Arial"/>
          <w:sz w:val="22"/>
          <w:szCs w:val="22"/>
        </w:rPr>
        <w:t>, Córdoba</w:t>
      </w:r>
      <w:r w:rsidRPr="007148A6">
        <w:rPr>
          <w:rFonts w:ascii="Arial" w:hAnsi="Arial" w:cs="Arial"/>
          <w:sz w:val="22"/>
          <w:szCs w:val="22"/>
        </w:rPr>
        <w:t>.</w:t>
      </w:r>
    </w:p>
    <w:p w14:paraId="4433761C" w14:textId="5F929FA6" w:rsidR="002459BE" w:rsidRPr="007148A6" w:rsidRDefault="002459BE" w:rsidP="00AD6516">
      <w:pPr>
        <w:tabs>
          <w:tab w:val="left" w:pos="0"/>
        </w:tabs>
        <w:spacing w:after="60" w:line="240" w:lineRule="auto"/>
        <w:ind w:left="709" w:hanging="709"/>
        <w:jc w:val="both"/>
        <w:rPr>
          <w:rFonts w:ascii="Arial" w:hAnsi="Arial" w:cs="Arial"/>
        </w:rPr>
      </w:pPr>
      <w:r w:rsidRPr="007148A6">
        <w:rPr>
          <w:rFonts w:ascii="Arial" w:hAnsi="Arial" w:cs="Arial"/>
        </w:rPr>
        <w:t>PÉREZ HUALDE, A.</w:t>
      </w:r>
      <w:r w:rsidR="00CF649B" w:rsidRPr="007148A6">
        <w:rPr>
          <w:rFonts w:ascii="Arial" w:hAnsi="Arial" w:cs="Arial"/>
        </w:rPr>
        <w:t xml:space="preserve"> (1999).</w:t>
      </w:r>
      <w:r w:rsidRPr="007148A6">
        <w:rPr>
          <w:rFonts w:ascii="Arial" w:hAnsi="Arial" w:cs="Arial"/>
        </w:rPr>
        <w:t xml:space="preserve"> </w:t>
      </w:r>
      <w:r w:rsidRPr="007148A6">
        <w:rPr>
          <w:rFonts w:ascii="Arial" w:hAnsi="Arial" w:cs="Arial"/>
          <w:i/>
          <w:iCs/>
        </w:rPr>
        <w:t>Coparticipación federal de impuestos en la Constitución Nacional</w:t>
      </w:r>
      <w:r w:rsidR="00CF649B" w:rsidRPr="007148A6">
        <w:rPr>
          <w:rFonts w:ascii="Arial" w:hAnsi="Arial" w:cs="Arial"/>
        </w:rPr>
        <w:t>. Buenos Aires; Depalma</w:t>
      </w:r>
      <w:r w:rsidRPr="007148A6">
        <w:rPr>
          <w:rFonts w:ascii="Arial" w:hAnsi="Arial" w:cs="Arial"/>
        </w:rPr>
        <w:t>.</w:t>
      </w:r>
    </w:p>
    <w:p w14:paraId="1BE633AC" w14:textId="6D23B685" w:rsidR="00357F23" w:rsidRPr="007148A6" w:rsidRDefault="00357F23" w:rsidP="00AD6516">
      <w:pPr>
        <w:tabs>
          <w:tab w:val="left" w:pos="0"/>
        </w:tabs>
        <w:spacing w:after="60" w:line="240" w:lineRule="auto"/>
        <w:ind w:left="709" w:hanging="709"/>
        <w:jc w:val="both"/>
        <w:rPr>
          <w:rFonts w:ascii="Arial" w:hAnsi="Arial" w:cs="Arial"/>
        </w:rPr>
      </w:pPr>
      <w:r w:rsidRPr="007148A6">
        <w:rPr>
          <w:rFonts w:ascii="Arial" w:hAnsi="Arial" w:cs="Arial"/>
        </w:rPr>
        <w:t>PIFFANO, H. P.</w:t>
      </w:r>
      <w:r w:rsidR="00CF649B" w:rsidRPr="007148A6">
        <w:rPr>
          <w:rFonts w:ascii="Arial" w:hAnsi="Arial" w:cs="Arial"/>
        </w:rPr>
        <w:t xml:space="preserve"> (2019). </w:t>
      </w:r>
      <w:r w:rsidR="00CD45D8" w:rsidRPr="007148A6">
        <w:rPr>
          <w:rFonts w:ascii="Arial" w:hAnsi="Arial" w:cs="Arial"/>
          <w:i/>
        </w:rPr>
        <w:t>Una nota sobre la propuesta para el nuevo acuerdo fiscal y financiero federal y proyecto de ley convenio</w:t>
      </w:r>
      <w:r w:rsidR="00CF649B" w:rsidRPr="007148A6">
        <w:rPr>
          <w:rFonts w:ascii="Arial" w:hAnsi="Arial" w:cs="Arial"/>
          <w:i/>
        </w:rPr>
        <w:t>,</w:t>
      </w:r>
      <w:r w:rsidR="00CD45D8" w:rsidRPr="007148A6">
        <w:rPr>
          <w:rFonts w:ascii="Arial" w:hAnsi="Arial" w:cs="Arial"/>
        </w:rPr>
        <w:t xml:space="preserve"> </w:t>
      </w:r>
      <w:r w:rsidR="00CF649B" w:rsidRPr="007148A6">
        <w:rPr>
          <w:rFonts w:ascii="Arial" w:hAnsi="Arial" w:cs="Arial"/>
          <w:iCs/>
        </w:rPr>
        <w:t>52°</w:t>
      </w:r>
      <w:r w:rsidR="00CD45D8" w:rsidRPr="007148A6">
        <w:rPr>
          <w:rFonts w:ascii="Arial" w:hAnsi="Arial" w:cs="Arial"/>
        </w:rPr>
        <w:t xml:space="preserve"> Jornadas Internacionales de Finanzas Públicas</w:t>
      </w:r>
      <w:r w:rsidR="00CF649B" w:rsidRPr="007148A6">
        <w:rPr>
          <w:rFonts w:ascii="Arial" w:hAnsi="Arial" w:cs="Arial"/>
        </w:rPr>
        <w:t xml:space="preserve">, </w:t>
      </w:r>
      <w:r w:rsidR="00CD45D8" w:rsidRPr="007148A6">
        <w:rPr>
          <w:rFonts w:ascii="Arial" w:hAnsi="Arial" w:cs="Arial"/>
        </w:rPr>
        <w:t>Córdoba</w:t>
      </w:r>
      <w:r w:rsidRPr="007148A6">
        <w:rPr>
          <w:rFonts w:ascii="Arial" w:hAnsi="Arial" w:cs="Arial"/>
        </w:rPr>
        <w:t>.</w:t>
      </w:r>
    </w:p>
    <w:p w14:paraId="14113457" w14:textId="7D29FF16" w:rsidR="002459BE" w:rsidRPr="007148A6" w:rsidRDefault="002459BE" w:rsidP="00AD6516">
      <w:pPr>
        <w:spacing w:before="60" w:after="60" w:line="240" w:lineRule="auto"/>
        <w:ind w:left="709" w:hanging="709"/>
        <w:jc w:val="both"/>
        <w:rPr>
          <w:rFonts w:ascii="Arial" w:hAnsi="Arial" w:cs="Arial"/>
        </w:rPr>
      </w:pPr>
      <w:r w:rsidRPr="007148A6">
        <w:rPr>
          <w:rFonts w:ascii="Arial" w:hAnsi="Arial" w:cs="Arial"/>
        </w:rPr>
        <w:t xml:space="preserve">VEGA, J. A., </w:t>
      </w:r>
      <w:r w:rsidRPr="007148A6">
        <w:rPr>
          <w:rFonts w:ascii="Arial" w:hAnsi="Arial" w:cs="Arial"/>
          <w:caps/>
        </w:rPr>
        <w:t>Diblas</w:t>
      </w:r>
      <w:r w:rsidR="00CF649B" w:rsidRPr="007148A6">
        <w:rPr>
          <w:rFonts w:ascii="Arial" w:hAnsi="Arial" w:cs="Arial"/>
        </w:rPr>
        <w:t>I, J. V. y GARCÍA O</w:t>
      </w:r>
      <w:r w:rsidR="00342B8B" w:rsidRPr="007148A6">
        <w:rPr>
          <w:rFonts w:ascii="Arial" w:hAnsi="Arial" w:cs="Arial"/>
        </w:rPr>
        <w:t>ROZCO</w:t>
      </w:r>
      <w:r w:rsidR="00CF649B" w:rsidRPr="007148A6">
        <w:rPr>
          <w:rFonts w:ascii="Arial" w:hAnsi="Arial" w:cs="Arial"/>
        </w:rPr>
        <w:t>, J. C. (2010).</w:t>
      </w:r>
      <w:r w:rsidRPr="007148A6">
        <w:rPr>
          <w:rFonts w:ascii="Arial" w:hAnsi="Arial" w:cs="Arial"/>
        </w:rPr>
        <w:t xml:space="preserve"> </w:t>
      </w:r>
      <w:r w:rsidRPr="007148A6">
        <w:rPr>
          <w:rFonts w:ascii="Arial" w:eastAsia="Calibri" w:hAnsi="Arial" w:cs="Arial"/>
          <w:i/>
        </w:rPr>
        <w:t>Bases para un nuevo régimen de coparticipación municipal de impuestos (Provincia de Mendoza)</w:t>
      </w:r>
      <w:r w:rsidR="00CF649B" w:rsidRPr="007148A6">
        <w:rPr>
          <w:rFonts w:ascii="Arial" w:eastAsia="Calibri" w:hAnsi="Arial" w:cs="Arial"/>
          <w:i/>
        </w:rPr>
        <w:t xml:space="preserve">, </w:t>
      </w:r>
      <w:r w:rsidR="00CF649B" w:rsidRPr="007148A6">
        <w:rPr>
          <w:rFonts w:ascii="Arial" w:eastAsia="Calibri" w:hAnsi="Arial" w:cs="Arial"/>
        </w:rPr>
        <w:t>43</w:t>
      </w:r>
      <w:r w:rsidR="00CF649B" w:rsidRPr="007148A6">
        <w:rPr>
          <w:rFonts w:ascii="Arial" w:hAnsi="Arial" w:cs="Arial"/>
          <w:iCs/>
          <w:vertAlign w:val="superscript"/>
        </w:rPr>
        <w:t>°</w:t>
      </w:r>
      <w:r w:rsidRPr="007148A6">
        <w:rPr>
          <w:rFonts w:ascii="Arial" w:eastAsia="Calibri" w:hAnsi="Arial" w:cs="Arial"/>
        </w:rPr>
        <w:t xml:space="preserve"> Jornadas Internacionales de Finanzas Públicas</w:t>
      </w:r>
      <w:r w:rsidR="00CF649B" w:rsidRPr="007148A6">
        <w:rPr>
          <w:rFonts w:ascii="Arial" w:eastAsia="Calibri" w:hAnsi="Arial" w:cs="Arial"/>
        </w:rPr>
        <w:t>,</w:t>
      </w:r>
      <w:r w:rsidRPr="007148A6">
        <w:rPr>
          <w:rFonts w:ascii="Arial" w:eastAsia="Calibri" w:hAnsi="Arial" w:cs="Arial"/>
        </w:rPr>
        <w:t xml:space="preserve"> Córdoba. </w:t>
      </w:r>
    </w:p>
    <w:p w14:paraId="7206C8E8" w14:textId="3AF218C6" w:rsidR="00CD45D8" w:rsidRPr="007148A6" w:rsidRDefault="00CD45D8" w:rsidP="00AD6516">
      <w:pPr>
        <w:pStyle w:val="Textonotapie"/>
        <w:spacing w:before="60" w:after="60"/>
        <w:ind w:left="709" w:hanging="709"/>
        <w:jc w:val="both"/>
        <w:rPr>
          <w:rFonts w:ascii="Arial" w:hAnsi="Arial" w:cs="Arial"/>
          <w:sz w:val="22"/>
          <w:szCs w:val="22"/>
        </w:rPr>
      </w:pPr>
      <w:r w:rsidRPr="007148A6">
        <w:rPr>
          <w:rFonts w:ascii="Arial" w:hAnsi="Arial" w:cs="Arial"/>
          <w:sz w:val="22"/>
          <w:szCs w:val="22"/>
        </w:rPr>
        <w:t>VEGA, J. A., DIB</w:t>
      </w:r>
      <w:r w:rsidR="00CF649B" w:rsidRPr="007148A6">
        <w:rPr>
          <w:rFonts w:ascii="Arial" w:hAnsi="Arial" w:cs="Arial"/>
          <w:sz w:val="22"/>
          <w:szCs w:val="22"/>
        </w:rPr>
        <w:t>LASI, J. V. y GONZÁLEZ O</w:t>
      </w:r>
      <w:r w:rsidR="00342B8B" w:rsidRPr="007148A6">
        <w:rPr>
          <w:rFonts w:ascii="Arial" w:hAnsi="Arial" w:cs="Arial"/>
          <w:sz w:val="22"/>
          <w:szCs w:val="22"/>
        </w:rPr>
        <w:t>ROZCO</w:t>
      </w:r>
      <w:r w:rsidR="00CF649B" w:rsidRPr="007148A6">
        <w:rPr>
          <w:rFonts w:ascii="Arial" w:hAnsi="Arial" w:cs="Arial"/>
          <w:sz w:val="22"/>
          <w:szCs w:val="22"/>
        </w:rPr>
        <w:t>, M. F. (2014).</w:t>
      </w:r>
      <w:r w:rsidRPr="007148A6">
        <w:rPr>
          <w:rFonts w:ascii="Arial" w:hAnsi="Arial" w:cs="Arial"/>
          <w:sz w:val="22"/>
          <w:szCs w:val="22"/>
        </w:rPr>
        <w:t xml:space="preserve"> </w:t>
      </w:r>
      <w:r w:rsidRPr="007148A6">
        <w:rPr>
          <w:rFonts w:ascii="Arial" w:hAnsi="Arial" w:cs="Arial"/>
          <w:i/>
          <w:iCs/>
          <w:sz w:val="22"/>
          <w:szCs w:val="22"/>
        </w:rPr>
        <w:t>Una visión sobre el régimen de coparticipación federal</w:t>
      </w:r>
      <w:r w:rsidR="00CF649B" w:rsidRPr="007148A6">
        <w:rPr>
          <w:rFonts w:ascii="Arial" w:hAnsi="Arial" w:cs="Arial"/>
          <w:i/>
          <w:iCs/>
          <w:sz w:val="22"/>
          <w:szCs w:val="22"/>
        </w:rPr>
        <w:t>,</w:t>
      </w:r>
      <w:r w:rsidRPr="007148A6">
        <w:rPr>
          <w:rFonts w:ascii="Arial" w:hAnsi="Arial" w:cs="Arial"/>
          <w:sz w:val="22"/>
          <w:szCs w:val="22"/>
        </w:rPr>
        <w:t xml:space="preserve"> </w:t>
      </w:r>
      <w:bookmarkStart w:id="5" w:name="_Hlk37445328"/>
      <w:r w:rsidR="002459BE" w:rsidRPr="007148A6">
        <w:rPr>
          <w:rFonts w:ascii="Arial" w:hAnsi="Arial" w:cs="Arial"/>
          <w:iCs/>
          <w:sz w:val="22"/>
          <w:szCs w:val="22"/>
        </w:rPr>
        <w:t>47</w:t>
      </w:r>
      <w:r w:rsidR="00CF649B" w:rsidRPr="007148A6">
        <w:rPr>
          <w:rFonts w:ascii="Arial" w:hAnsi="Arial" w:cs="Arial"/>
          <w:iCs/>
          <w:sz w:val="22"/>
          <w:szCs w:val="22"/>
        </w:rPr>
        <w:t>°</w:t>
      </w:r>
      <w:r w:rsidR="002459BE" w:rsidRPr="007148A6">
        <w:rPr>
          <w:rFonts w:ascii="Arial" w:hAnsi="Arial" w:cs="Arial"/>
          <w:iCs/>
          <w:sz w:val="22"/>
          <w:szCs w:val="22"/>
        </w:rPr>
        <w:t xml:space="preserve"> Jornadas Internacionales de Finanzas Públicas</w:t>
      </w:r>
      <w:bookmarkEnd w:id="5"/>
      <w:r w:rsidR="00CF649B" w:rsidRPr="007148A6">
        <w:rPr>
          <w:rFonts w:ascii="Arial" w:hAnsi="Arial" w:cs="Arial"/>
          <w:sz w:val="22"/>
          <w:szCs w:val="22"/>
        </w:rPr>
        <w:t xml:space="preserve">, </w:t>
      </w:r>
      <w:r w:rsidRPr="007148A6">
        <w:rPr>
          <w:rFonts w:ascii="Arial" w:hAnsi="Arial" w:cs="Arial"/>
          <w:sz w:val="22"/>
          <w:szCs w:val="22"/>
        </w:rPr>
        <w:t>Córdoba</w:t>
      </w:r>
      <w:r w:rsidR="00CF649B" w:rsidRPr="007148A6">
        <w:rPr>
          <w:rFonts w:ascii="Arial" w:hAnsi="Arial" w:cs="Arial"/>
          <w:sz w:val="22"/>
          <w:szCs w:val="22"/>
        </w:rPr>
        <w:t>.</w:t>
      </w:r>
    </w:p>
    <w:p w14:paraId="4BBCB371" w14:textId="4A1E80AC" w:rsidR="002459BE" w:rsidRPr="007148A6" w:rsidRDefault="002459BE" w:rsidP="00AD6516">
      <w:pPr>
        <w:pStyle w:val="Textonotapie"/>
        <w:spacing w:after="60"/>
        <w:ind w:left="709" w:hanging="709"/>
        <w:jc w:val="both"/>
        <w:rPr>
          <w:rFonts w:ascii="Arial" w:hAnsi="Arial" w:cs="Arial"/>
          <w:sz w:val="22"/>
          <w:szCs w:val="22"/>
        </w:rPr>
      </w:pPr>
      <w:r w:rsidRPr="007148A6">
        <w:rPr>
          <w:rFonts w:ascii="Arial" w:hAnsi="Arial" w:cs="Arial"/>
          <w:sz w:val="22"/>
          <w:szCs w:val="22"/>
        </w:rPr>
        <w:t>VEGA, J. A., DIBLAS</w:t>
      </w:r>
      <w:r w:rsidR="00CF649B" w:rsidRPr="007148A6">
        <w:rPr>
          <w:rFonts w:ascii="Arial" w:hAnsi="Arial" w:cs="Arial"/>
          <w:sz w:val="22"/>
          <w:szCs w:val="22"/>
        </w:rPr>
        <w:t>I, J. V. y GONZÁLEZ O</w:t>
      </w:r>
      <w:r w:rsidR="00342B8B" w:rsidRPr="007148A6">
        <w:rPr>
          <w:rFonts w:ascii="Arial" w:hAnsi="Arial" w:cs="Arial"/>
          <w:sz w:val="22"/>
          <w:szCs w:val="22"/>
        </w:rPr>
        <w:t>ROZCO</w:t>
      </w:r>
      <w:r w:rsidR="00CF649B" w:rsidRPr="007148A6">
        <w:rPr>
          <w:rFonts w:ascii="Arial" w:hAnsi="Arial" w:cs="Arial"/>
          <w:sz w:val="22"/>
          <w:szCs w:val="22"/>
        </w:rPr>
        <w:t xml:space="preserve">, M. F. (2016) </w:t>
      </w:r>
      <w:r w:rsidRPr="007148A6">
        <w:rPr>
          <w:rFonts w:ascii="Arial" w:hAnsi="Arial" w:cs="Arial"/>
          <w:i/>
          <w:sz w:val="22"/>
          <w:szCs w:val="22"/>
        </w:rPr>
        <w:t>Coparticipación federal: Distribución primaria y secundaria. Indicadores objetivos de reparto</w:t>
      </w:r>
      <w:r w:rsidR="00CF649B" w:rsidRPr="007148A6">
        <w:rPr>
          <w:rFonts w:ascii="Arial" w:hAnsi="Arial" w:cs="Arial"/>
          <w:sz w:val="22"/>
          <w:szCs w:val="22"/>
        </w:rPr>
        <w:t>, 49°</w:t>
      </w:r>
      <w:r w:rsidRPr="007148A6">
        <w:rPr>
          <w:rFonts w:ascii="Arial" w:hAnsi="Arial" w:cs="Arial"/>
          <w:sz w:val="22"/>
          <w:szCs w:val="22"/>
        </w:rPr>
        <w:t xml:space="preserve"> Jornadas Internacionales de Finanzas Públicas</w:t>
      </w:r>
      <w:r w:rsidR="00CF649B" w:rsidRPr="007148A6">
        <w:rPr>
          <w:rFonts w:ascii="Arial" w:hAnsi="Arial" w:cs="Arial"/>
          <w:sz w:val="22"/>
          <w:szCs w:val="22"/>
        </w:rPr>
        <w:t xml:space="preserve">, </w:t>
      </w:r>
      <w:r w:rsidRPr="007148A6">
        <w:rPr>
          <w:rFonts w:ascii="Arial" w:hAnsi="Arial" w:cs="Arial"/>
          <w:sz w:val="22"/>
          <w:szCs w:val="22"/>
        </w:rPr>
        <w:t>Córdoba.</w:t>
      </w:r>
    </w:p>
    <w:p w14:paraId="6D7D6F18" w14:textId="6ECA8AB8" w:rsidR="00CD45D8" w:rsidRPr="00357F23" w:rsidRDefault="00CD45D8" w:rsidP="00AD6516">
      <w:pPr>
        <w:autoSpaceDE w:val="0"/>
        <w:autoSpaceDN w:val="0"/>
        <w:adjustRightInd w:val="0"/>
        <w:spacing w:before="120" w:after="120"/>
        <w:ind w:left="709" w:hanging="709"/>
        <w:jc w:val="both"/>
        <w:rPr>
          <w:rFonts w:cstheme="minorHAnsi"/>
          <w:b/>
          <w:bCs/>
          <w:sz w:val="24"/>
          <w:szCs w:val="24"/>
        </w:rPr>
      </w:pPr>
      <w:r w:rsidRPr="007148A6">
        <w:rPr>
          <w:rFonts w:ascii="Arial" w:hAnsi="Arial" w:cs="Arial"/>
        </w:rPr>
        <w:t xml:space="preserve">VEGA, J. A., </w:t>
      </w:r>
      <w:r w:rsidR="00CF649B" w:rsidRPr="007148A6">
        <w:rPr>
          <w:rFonts w:ascii="Arial" w:hAnsi="Arial" w:cs="Arial"/>
        </w:rPr>
        <w:t>ARAUJO F</w:t>
      </w:r>
      <w:r w:rsidR="00342B8B" w:rsidRPr="007148A6">
        <w:rPr>
          <w:rFonts w:ascii="Arial" w:hAnsi="Arial" w:cs="Arial"/>
        </w:rPr>
        <w:t>URLAN</w:t>
      </w:r>
      <w:r w:rsidR="00CF649B" w:rsidRPr="007148A6">
        <w:rPr>
          <w:rFonts w:ascii="Arial" w:hAnsi="Arial" w:cs="Arial"/>
        </w:rPr>
        <w:t>, S. G. y ZAVI, C. V. (2019).</w:t>
      </w:r>
      <w:r w:rsidRPr="007148A6">
        <w:rPr>
          <w:rFonts w:ascii="Arial" w:hAnsi="Arial" w:cs="Arial"/>
        </w:rPr>
        <w:t xml:space="preserve"> </w:t>
      </w:r>
      <w:r w:rsidRPr="007148A6">
        <w:rPr>
          <w:rFonts w:ascii="Arial" w:hAnsi="Arial" w:cs="Arial"/>
          <w:i/>
        </w:rPr>
        <w:t>La ley de coparticipación federal: una mora injustificada</w:t>
      </w:r>
      <w:r w:rsidR="00CF649B" w:rsidRPr="007148A6">
        <w:rPr>
          <w:rFonts w:ascii="Arial" w:hAnsi="Arial" w:cs="Arial"/>
        </w:rPr>
        <w:t xml:space="preserve">, </w:t>
      </w:r>
      <w:bookmarkStart w:id="6" w:name="_Hlk37442398"/>
      <w:r w:rsidRPr="007148A6">
        <w:rPr>
          <w:rFonts w:ascii="Arial" w:hAnsi="Arial" w:cs="Arial"/>
          <w:iCs/>
        </w:rPr>
        <w:t>52</w:t>
      </w:r>
      <w:r w:rsidR="00CF649B" w:rsidRPr="007148A6">
        <w:rPr>
          <w:rFonts w:ascii="Arial" w:hAnsi="Arial" w:cs="Arial"/>
          <w:iCs/>
          <w:vertAlign w:val="superscript"/>
        </w:rPr>
        <w:t>°</w:t>
      </w:r>
      <w:r w:rsidRPr="007148A6">
        <w:rPr>
          <w:rFonts w:ascii="Arial" w:hAnsi="Arial" w:cs="Arial"/>
          <w:iCs/>
        </w:rPr>
        <w:t xml:space="preserve"> Jornadas Internacionales de</w:t>
      </w:r>
      <w:r w:rsidRPr="00CF649B">
        <w:rPr>
          <w:rFonts w:cstheme="minorHAnsi"/>
          <w:iCs/>
        </w:rPr>
        <w:t xml:space="preserve"> Finanzas Públicas</w:t>
      </w:r>
      <w:bookmarkEnd w:id="6"/>
      <w:r w:rsidR="00CF649B">
        <w:rPr>
          <w:rFonts w:cstheme="minorHAnsi"/>
        </w:rPr>
        <w:t xml:space="preserve">, </w:t>
      </w:r>
      <w:r w:rsidRPr="00CF649B">
        <w:rPr>
          <w:rFonts w:cstheme="minorHAnsi"/>
        </w:rPr>
        <w:t>Córdoba</w:t>
      </w:r>
      <w:r w:rsidRPr="00357F23">
        <w:rPr>
          <w:rFonts w:cstheme="minorHAnsi"/>
        </w:rPr>
        <w:t>.</w:t>
      </w:r>
    </w:p>
    <w:sectPr w:rsidR="00CD45D8" w:rsidRPr="00357F23" w:rsidSect="00CD45D8">
      <w:pgSz w:w="12240" w:h="15840"/>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1574D" w14:textId="77777777" w:rsidR="00C140E5" w:rsidRDefault="00C140E5" w:rsidP="00026A1B">
      <w:pPr>
        <w:spacing w:after="0" w:line="240" w:lineRule="auto"/>
      </w:pPr>
      <w:r>
        <w:separator/>
      </w:r>
    </w:p>
  </w:endnote>
  <w:endnote w:type="continuationSeparator" w:id="0">
    <w:p w14:paraId="6FC8A4B6" w14:textId="77777777" w:rsidR="00C140E5" w:rsidRDefault="00C140E5" w:rsidP="00026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311F5" w14:textId="77777777" w:rsidR="007148A6" w:rsidRDefault="007148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4374776"/>
      <w:docPartObj>
        <w:docPartGallery w:val="Page Numbers (Bottom of Page)"/>
        <w:docPartUnique/>
      </w:docPartObj>
    </w:sdtPr>
    <w:sdtContent>
      <w:p w14:paraId="1FDDD603" w14:textId="586AC3D7" w:rsidR="007148A6" w:rsidRDefault="007148A6">
        <w:pPr>
          <w:pStyle w:val="Piedepgina"/>
          <w:jc w:val="right"/>
        </w:pPr>
        <w:r>
          <w:fldChar w:fldCharType="begin"/>
        </w:r>
        <w:r>
          <w:instrText>PAGE   \* MERGEFORMAT</w:instrText>
        </w:r>
        <w:r>
          <w:fldChar w:fldCharType="separate"/>
        </w:r>
        <w:r w:rsidRPr="00252932">
          <w:rPr>
            <w:noProof/>
            <w:lang w:val="es-ES"/>
          </w:rPr>
          <w:t>1</w:t>
        </w:r>
        <w:r>
          <w:fldChar w:fldCharType="end"/>
        </w:r>
      </w:p>
    </w:sdtContent>
  </w:sdt>
  <w:p w14:paraId="025208BD" w14:textId="77777777" w:rsidR="007148A6" w:rsidRDefault="007148A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CA0B3" w14:textId="77777777" w:rsidR="007148A6" w:rsidRDefault="007148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A1814" w14:textId="77777777" w:rsidR="00C140E5" w:rsidRDefault="00C140E5" w:rsidP="00026A1B">
      <w:pPr>
        <w:spacing w:after="0" w:line="240" w:lineRule="auto"/>
      </w:pPr>
      <w:r>
        <w:separator/>
      </w:r>
    </w:p>
  </w:footnote>
  <w:footnote w:type="continuationSeparator" w:id="0">
    <w:p w14:paraId="05A3ABA6" w14:textId="77777777" w:rsidR="00C140E5" w:rsidRDefault="00C140E5" w:rsidP="00026A1B">
      <w:pPr>
        <w:spacing w:after="0" w:line="240" w:lineRule="auto"/>
      </w:pPr>
      <w:r>
        <w:continuationSeparator/>
      </w:r>
    </w:p>
  </w:footnote>
  <w:footnote w:id="1">
    <w:p w14:paraId="5459F884" w14:textId="59084833" w:rsidR="007148A6" w:rsidRPr="007148A6" w:rsidRDefault="007148A6" w:rsidP="007E58E1">
      <w:pPr>
        <w:pStyle w:val="Textonotapie"/>
        <w:spacing w:after="60"/>
        <w:jc w:val="both"/>
        <w:rPr>
          <w:rFonts w:ascii="Arial" w:hAnsi="Arial" w:cs="Arial"/>
          <w:sz w:val="18"/>
          <w:szCs w:val="18"/>
        </w:rPr>
      </w:pPr>
      <w:r w:rsidRPr="007148A6">
        <w:rPr>
          <w:rStyle w:val="Refdenotaalpie"/>
          <w:rFonts w:ascii="Arial" w:hAnsi="Arial" w:cs="Arial"/>
          <w:sz w:val="18"/>
          <w:szCs w:val="18"/>
        </w:rPr>
        <w:footnoteRef/>
      </w:r>
      <w:r w:rsidRPr="007148A6">
        <w:rPr>
          <w:rFonts w:ascii="Arial" w:hAnsi="Arial" w:cs="Arial"/>
          <w:sz w:val="18"/>
          <w:szCs w:val="18"/>
        </w:rPr>
        <w:t xml:space="preserve"> VEGA, J. A., DIBLASI, J. V. y GONZÁLEZ OROZCO, M. F., “Coparticipación federal: Distribución primaria y secundaria. Indicadores objetivos de reparto” en </w:t>
      </w:r>
      <w:r w:rsidRPr="007148A6">
        <w:rPr>
          <w:rFonts w:ascii="Arial" w:hAnsi="Arial" w:cs="Arial"/>
          <w:i/>
          <w:sz w:val="18"/>
          <w:szCs w:val="18"/>
        </w:rPr>
        <w:t>49as. Jornadas Internacionales de Finanzas Públicas</w:t>
      </w:r>
      <w:r w:rsidRPr="007148A6">
        <w:rPr>
          <w:rFonts w:ascii="Arial" w:hAnsi="Arial" w:cs="Arial"/>
          <w:sz w:val="18"/>
          <w:szCs w:val="18"/>
        </w:rPr>
        <w:t xml:space="preserve"> (Córdoba, UNC, 2016).</w:t>
      </w:r>
    </w:p>
  </w:footnote>
  <w:footnote w:id="2">
    <w:p w14:paraId="1A9FB72C" w14:textId="6D2ECDBA" w:rsidR="007148A6" w:rsidRPr="007148A6" w:rsidRDefault="007148A6" w:rsidP="007E58E1">
      <w:pPr>
        <w:pStyle w:val="Textonotapie"/>
        <w:spacing w:before="60" w:after="60"/>
        <w:jc w:val="both"/>
        <w:rPr>
          <w:rFonts w:ascii="Arial" w:hAnsi="Arial" w:cs="Arial"/>
          <w:sz w:val="18"/>
          <w:szCs w:val="18"/>
        </w:rPr>
      </w:pPr>
      <w:r w:rsidRPr="007148A6">
        <w:rPr>
          <w:rStyle w:val="Refdenotaalpie"/>
          <w:rFonts w:ascii="Arial" w:hAnsi="Arial" w:cs="Arial"/>
          <w:sz w:val="18"/>
          <w:szCs w:val="18"/>
        </w:rPr>
        <w:footnoteRef/>
      </w:r>
      <w:r w:rsidRPr="007148A6">
        <w:rPr>
          <w:rFonts w:ascii="Arial" w:hAnsi="Arial" w:cs="Arial"/>
          <w:sz w:val="18"/>
          <w:szCs w:val="18"/>
        </w:rPr>
        <w:t xml:space="preserve"> VEGA, J. A., ARAUJO FURLAN, S. G., ZAVI, C. V., “La ley de coparticipación federal: una mora injustificada” en </w:t>
      </w:r>
      <w:r w:rsidRPr="007148A6">
        <w:rPr>
          <w:rFonts w:ascii="Arial" w:hAnsi="Arial" w:cs="Arial"/>
          <w:i/>
          <w:iCs/>
          <w:sz w:val="18"/>
          <w:szCs w:val="18"/>
        </w:rPr>
        <w:t>52as.</w:t>
      </w:r>
      <w:r w:rsidRPr="007148A6">
        <w:rPr>
          <w:rFonts w:ascii="Arial" w:hAnsi="Arial" w:cs="Arial"/>
          <w:sz w:val="18"/>
          <w:szCs w:val="18"/>
        </w:rPr>
        <w:t xml:space="preserve"> </w:t>
      </w:r>
      <w:r w:rsidRPr="007148A6">
        <w:rPr>
          <w:rFonts w:ascii="Arial" w:hAnsi="Arial" w:cs="Arial"/>
          <w:i/>
          <w:sz w:val="18"/>
          <w:szCs w:val="18"/>
        </w:rPr>
        <w:t>Jornadas Internacionales de Finanzas Públicas</w:t>
      </w:r>
      <w:r w:rsidRPr="007148A6">
        <w:rPr>
          <w:rFonts w:ascii="Arial" w:hAnsi="Arial" w:cs="Arial"/>
          <w:sz w:val="18"/>
          <w:szCs w:val="18"/>
        </w:rPr>
        <w:t xml:space="preserve"> (Córdoba, UNC, 2019). </w:t>
      </w:r>
    </w:p>
  </w:footnote>
  <w:footnote w:id="3">
    <w:p w14:paraId="7C42D6F1" w14:textId="526EBEAA" w:rsidR="007148A6" w:rsidRPr="007148A6" w:rsidRDefault="007148A6" w:rsidP="007E58E1">
      <w:pPr>
        <w:pStyle w:val="Textonotapie"/>
        <w:spacing w:before="60" w:after="60"/>
        <w:jc w:val="both"/>
        <w:rPr>
          <w:rFonts w:ascii="Arial" w:hAnsi="Arial" w:cs="Arial"/>
          <w:sz w:val="18"/>
          <w:szCs w:val="18"/>
        </w:rPr>
      </w:pPr>
      <w:r w:rsidRPr="007148A6">
        <w:rPr>
          <w:rStyle w:val="Refdenotaalpie"/>
          <w:rFonts w:ascii="Arial" w:hAnsi="Arial" w:cs="Arial"/>
          <w:sz w:val="18"/>
          <w:szCs w:val="18"/>
        </w:rPr>
        <w:footnoteRef/>
      </w:r>
      <w:r w:rsidRPr="007148A6">
        <w:rPr>
          <w:rFonts w:ascii="Arial" w:hAnsi="Arial" w:cs="Arial"/>
          <w:sz w:val="18"/>
          <w:szCs w:val="18"/>
        </w:rPr>
        <w:t xml:space="preserve"> P. ej., PORTO, A., </w:t>
      </w:r>
      <w:r w:rsidRPr="007148A6">
        <w:rPr>
          <w:rFonts w:ascii="Arial" w:hAnsi="Arial" w:cs="Arial"/>
          <w:i/>
          <w:sz w:val="18"/>
          <w:szCs w:val="18"/>
        </w:rPr>
        <w:t xml:space="preserve">Transferencias intergubernamentales y disparidades fiscales a nivel subnacional en Argentina </w:t>
      </w:r>
      <w:r w:rsidRPr="007148A6">
        <w:rPr>
          <w:rFonts w:ascii="Arial" w:hAnsi="Arial" w:cs="Arial"/>
          <w:sz w:val="18"/>
          <w:szCs w:val="18"/>
        </w:rPr>
        <w:t>(BID, Documento para discusión N</w:t>
      </w:r>
      <w:r w:rsidRPr="007148A6">
        <w:rPr>
          <w:rFonts w:ascii="Arial" w:hAnsi="Arial" w:cs="Arial"/>
          <w:sz w:val="18"/>
          <w:szCs w:val="18"/>
          <w:vertAlign w:val="superscript"/>
        </w:rPr>
        <w:t xml:space="preserve">o </w:t>
      </w:r>
      <w:r w:rsidRPr="007148A6">
        <w:rPr>
          <w:rFonts w:ascii="Arial" w:hAnsi="Arial" w:cs="Arial"/>
          <w:sz w:val="18"/>
          <w:szCs w:val="18"/>
        </w:rPr>
        <w:t xml:space="preserve">IDB-DP-494,2018); RUARTE BAZÁN, R., “Algunos mitos y realidades del federalismo fiscal argentino” en </w:t>
      </w:r>
      <w:r w:rsidRPr="007148A6">
        <w:rPr>
          <w:rFonts w:ascii="Arial" w:hAnsi="Arial" w:cs="Arial"/>
          <w:i/>
          <w:sz w:val="18"/>
          <w:szCs w:val="18"/>
        </w:rPr>
        <w:t>49as. Jornadas Internacionales de Finanzas Públicas</w:t>
      </w:r>
      <w:r w:rsidRPr="007148A6">
        <w:rPr>
          <w:rFonts w:ascii="Arial" w:hAnsi="Arial" w:cs="Arial"/>
          <w:sz w:val="18"/>
          <w:szCs w:val="18"/>
        </w:rPr>
        <w:t xml:space="preserve"> (Córdoba, UNC, 2016).</w:t>
      </w:r>
    </w:p>
    <w:p w14:paraId="2B3CD217" w14:textId="77777777" w:rsidR="007148A6" w:rsidRPr="007148A6" w:rsidRDefault="007148A6" w:rsidP="007E58E1">
      <w:pPr>
        <w:pStyle w:val="Textonotapie"/>
        <w:spacing w:after="60"/>
        <w:ind w:right="-1"/>
        <w:jc w:val="both"/>
        <w:rPr>
          <w:rFonts w:ascii="Arial" w:hAnsi="Arial" w:cs="Arial"/>
          <w:sz w:val="18"/>
          <w:szCs w:val="18"/>
        </w:rPr>
      </w:pPr>
    </w:p>
  </w:footnote>
  <w:footnote w:id="4">
    <w:p w14:paraId="1937B7FF" w14:textId="0EBC2FF4" w:rsidR="007148A6" w:rsidRPr="007148A6" w:rsidRDefault="007148A6" w:rsidP="007E58E1">
      <w:pPr>
        <w:tabs>
          <w:tab w:val="left" w:pos="284"/>
        </w:tabs>
        <w:spacing w:after="60" w:line="240" w:lineRule="auto"/>
        <w:jc w:val="both"/>
        <w:rPr>
          <w:rFonts w:ascii="Arial" w:hAnsi="Arial" w:cs="Arial"/>
          <w:sz w:val="18"/>
          <w:szCs w:val="18"/>
        </w:rPr>
      </w:pPr>
      <w:r w:rsidRPr="007148A6">
        <w:rPr>
          <w:rStyle w:val="Refdenotaalpie"/>
          <w:rFonts w:ascii="Arial" w:hAnsi="Arial" w:cs="Arial"/>
          <w:sz w:val="18"/>
          <w:szCs w:val="18"/>
        </w:rPr>
        <w:footnoteRef/>
      </w:r>
      <w:r w:rsidRPr="007148A6">
        <w:rPr>
          <w:rFonts w:ascii="Arial" w:hAnsi="Arial" w:cs="Arial"/>
          <w:sz w:val="18"/>
          <w:szCs w:val="18"/>
        </w:rPr>
        <w:t xml:space="preserve"> En especial se hará referencia a las de autores como Horacio Piffano en su artículo “Una nota sobre la propuesta para el nuevo acuerdo fiscal y financiero federal y proyecto de ley convenio” publicado en </w:t>
      </w:r>
      <w:r w:rsidRPr="007148A6">
        <w:rPr>
          <w:rFonts w:ascii="Arial" w:hAnsi="Arial" w:cs="Arial"/>
          <w:i/>
          <w:iCs/>
          <w:sz w:val="18"/>
          <w:szCs w:val="18"/>
        </w:rPr>
        <w:t>52as.</w:t>
      </w:r>
      <w:r w:rsidRPr="007148A6">
        <w:rPr>
          <w:rFonts w:ascii="Arial" w:hAnsi="Arial" w:cs="Arial"/>
          <w:sz w:val="18"/>
          <w:szCs w:val="18"/>
        </w:rPr>
        <w:t xml:space="preserve"> </w:t>
      </w:r>
      <w:r w:rsidRPr="007148A6">
        <w:rPr>
          <w:rFonts w:ascii="Arial" w:hAnsi="Arial" w:cs="Arial"/>
          <w:i/>
          <w:sz w:val="18"/>
          <w:szCs w:val="18"/>
        </w:rPr>
        <w:t>Jornadas Internacionales de Finanzas Públicas</w:t>
      </w:r>
      <w:r w:rsidRPr="007148A6">
        <w:rPr>
          <w:rFonts w:ascii="Arial" w:hAnsi="Arial" w:cs="Arial"/>
          <w:sz w:val="18"/>
          <w:szCs w:val="18"/>
        </w:rPr>
        <w:t xml:space="preserve"> (Córdoba, UNC, 2019), el libro del CONSEJO EMPRESARIO ARGENTINO, “Propuesta de federalismo fiscal” (Buenos Aires, CEA, 2000) y el de PÉREZ HUALDE., A</w:t>
      </w:r>
      <w:r w:rsidRPr="007148A6">
        <w:rPr>
          <w:rFonts w:ascii="Arial" w:hAnsi="Arial" w:cs="Arial"/>
          <w:i/>
          <w:iCs/>
          <w:sz w:val="18"/>
          <w:szCs w:val="18"/>
        </w:rPr>
        <w:t>. Coparticipación federal de impuestos en la Constitución Nacional</w:t>
      </w:r>
      <w:r w:rsidRPr="007148A6">
        <w:rPr>
          <w:rFonts w:ascii="Arial" w:hAnsi="Arial" w:cs="Arial"/>
          <w:sz w:val="18"/>
          <w:szCs w:val="18"/>
        </w:rPr>
        <w:t xml:space="preserve"> (Buenos Aires, Depalma, 1999).</w:t>
      </w:r>
    </w:p>
  </w:footnote>
  <w:footnote w:id="5">
    <w:p w14:paraId="346CF50F" w14:textId="658AED53" w:rsidR="007148A6" w:rsidRPr="007148A6" w:rsidRDefault="007148A6" w:rsidP="007E58E1">
      <w:pPr>
        <w:pStyle w:val="Textonotapie"/>
        <w:spacing w:after="60"/>
        <w:jc w:val="both"/>
        <w:rPr>
          <w:rFonts w:ascii="Arial" w:hAnsi="Arial" w:cs="Arial"/>
          <w:sz w:val="18"/>
          <w:szCs w:val="18"/>
        </w:rPr>
      </w:pPr>
      <w:r w:rsidRPr="007148A6">
        <w:rPr>
          <w:rStyle w:val="Refdenotaalpie"/>
          <w:rFonts w:ascii="Arial" w:hAnsi="Arial" w:cs="Arial"/>
          <w:sz w:val="18"/>
          <w:szCs w:val="18"/>
        </w:rPr>
        <w:footnoteRef/>
      </w:r>
      <w:r w:rsidRPr="007148A6">
        <w:rPr>
          <w:rFonts w:ascii="Arial" w:hAnsi="Arial" w:cs="Arial"/>
          <w:sz w:val="18"/>
          <w:szCs w:val="18"/>
        </w:rPr>
        <w:t xml:space="preserve"> Véanse págs. 177 y 178 de la propuesta del Consejo Empresario Argentino. Esta propuesta fue elaborada con la dirección de Jorge C. Ávila y contó con la participación de destacados especialistas como los citados Ernesto Bulit Goñi, Horacio P. Piffano y, además, Oscar </w:t>
      </w:r>
      <w:proofErr w:type="spellStart"/>
      <w:r w:rsidRPr="007148A6">
        <w:rPr>
          <w:rFonts w:ascii="Arial" w:hAnsi="Arial" w:cs="Arial"/>
          <w:sz w:val="18"/>
          <w:szCs w:val="18"/>
        </w:rPr>
        <w:t>Libonatti</w:t>
      </w:r>
      <w:proofErr w:type="spellEnd"/>
      <w:r w:rsidRPr="007148A6">
        <w:rPr>
          <w:rFonts w:ascii="Arial" w:hAnsi="Arial" w:cs="Arial"/>
          <w:sz w:val="18"/>
          <w:szCs w:val="18"/>
        </w:rPr>
        <w:t xml:space="preserve">, Mario </w:t>
      </w:r>
      <w:proofErr w:type="spellStart"/>
      <w:r w:rsidRPr="007148A6">
        <w:rPr>
          <w:rFonts w:ascii="Arial" w:hAnsi="Arial" w:cs="Arial"/>
          <w:sz w:val="18"/>
          <w:szCs w:val="18"/>
        </w:rPr>
        <w:t>Salinardi</w:t>
      </w:r>
      <w:proofErr w:type="spellEnd"/>
      <w:r w:rsidRPr="007148A6">
        <w:rPr>
          <w:rFonts w:ascii="Arial" w:hAnsi="Arial" w:cs="Arial"/>
          <w:sz w:val="18"/>
          <w:szCs w:val="18"/>
        </w:rPr>
        <w:t xml:space="preserve"> y otros, y contó con los comentarios de Richard </w:t>
      </w:r>
      <w:proofErr w:type="spellStart"/>
      <w:r w:rsidRPr="007148A6">
        <w:rPr>
          <w:rFonts w:ascii="Arial" w:hAnsi="Arial" w:cs="Arial"/>
          <w:sz w:val="18"/>
          <w:szCs w:val="18"/>
        </w:rPr>
        <w:t>Bird</w:t>
      </w:r>
      <w:proofErr w:type="spellEnd"/>
      <w:r w:rsidRPr="007148A6">
        <w:rPr>
          <w:rFonts w:ascii="Arial" w:hAnsi="Arial" w:cs="Arial"/>
          <w:sz w:val="18"/>
          <w:szCs w:val="18"/>
        </w:rPr>
        <w:t xml:space="preserve"> y Charles </w:t>
      </w:r>
      <w:proofErr w:type="spellStart"/>
      <w:r w:rsidRPr="007148A6">
        <w:rPr>
          <w:rFonts w:ascii="Arial" w:hAnsi="Arial" w:cs="Arial"/>
          <w:sz w:val="18"/>
          <w:szCs w:val="18"/>
        </w:rPr>
        <w:t>McLure</w:t>
      </w:r>
      <w:proofErr w:type="spellEnd"/>
      <w:r w:rsidRPr="007148A6">
        <w:rPr>
          <w:rFonts w:ascii="Arial" w:hAnsi="Arial" w:cs="Arial"/>
          <w:sz w:val="18"/>
          <w:szCs w:val="18"/>
        </w:rPr>
        <w:t>, prestigiosos especialistas en Finanzas Públicas de Canadá y Estados Unidos.</w:t>
      </w:r>
    </w:p>
  </w:footnote>
  <w:footnote w:id="6">
    <w:p w14:paraId="012C8DA6" w14:textId="6BED2CB3" w:rsidR="007148A6" w:rsidRPr="007148A6" w:rsidRDefault="007148A6" w:rsidP="007E58E1">
      <w:pPr>
        <w:pStyle w:val="Textonotapie"/>
        <w:spacing w:after="60"/>
        <w:jc w:val="both"/>
        <w:rPr>
          <w:rFonts w:ascii="Arial" w:hAnsi="Arial" w:cs="Arial"/>
          <w:sz w:val="18"/>
          <w:szCs w:val="18"/>
        </w:rPr>
      </w:pPr>
      <w:r w:rsidRPr="007148A6">
        <w:rPr>
          <w:rStyle w:val="Refdenotaalpie"/>
          <w:rFonts w:ascii="Arial" w:hAnsi="Arial" w:cs="Arial"/>
          <w:sz w:val="18"/>
          <w:szCs w:val="18"/>
        </w:rPr>
        <w:footnoteRef/>
      </w:r>
      <w:r w:rsidRPr="007148A6">
        <w:rPr>
          <w:rFonts w:ascii="Arial" w:hAnsi="Arial" w:cs="Arial"/>
          <w:sz w:val="18"/>
          <w:szCs w:val="18"/>
        </w:rPr>
        <w:t xml:space="preserve"> En PIFFANO, H.P. (2019) ya citado, el autor sostiene que incluir los aranceles aduaneros en el régimen de coparticipación sería un “error tremendo” sin dar ninguna explicación válida ni fundamentada al respecto.</w:t>
      </w:r>
    </w:p>
  </w:footnote>
  <w:footnote w:id="7">
    <w:p w14:paraId="20871C5C" w14:textId="77777777" w:rsidR="007148A6" w:rsidRPr="007148A6" w:rsidRDefault="007148A6" w:rsidP="007E58E1">
      <w:pPr>
        <w:pStyle w:val="Textonotapie"/>
        <w:spacing w:after="60"/>
        <w:rPr>
          <w:rFonts w:ascii="Arial" w:hAnsi="Arial" w:cs="Arial"/>
          <w:sz w:val="18"/>
          <w:szCs w:val="18"/>
        </w:rPr>
      </w:pPr>
      <w:r w:rsidRPr="007148A6">
        <w:rPr>
          <w:rStyle w:val="Refdenotaalpie"/>
          <w:rFonts w:ascii="Arial" w:hAnsi="Arial" w:cs="Arial"/>
          <w:sz w:val="18"/>
          <w:szCs w:val="18"/>
        </w:rPr>
        <w:footnoteRef/>
      </w:r>
      <w:r w:rsidRPr="007148A6">
        <w:rPr>
          <w:rFonts w:ascii="Arial" w:hAnsi="Arial" w:cs="Arial"/>
          <w:sz w:val="18"/>
          <w:szCs w:val="18"/>
        </w:rPr>
        <w:t xml:space="preserve"> Véase Cap. V de la obra citada del CEA.</w:t>
      </w:r>
    </w:p>
  </w:footnote>
  <w:footnote w:id="8">
    <w:p w14:paraId="6FF3D4A9" w14:textId="0FC72DE6" w:rsidR="007148A6" w:rsidRPr="007148A6" w:rsidRDefault="007148A6">
      <w:pPr>
        <w:pStyle w:val="Textonotapie"/>
        <w:rPr>
          <w:rFonts w:ascii="Arial" w:hAnsi="Arial" w:cs="Arial"/>
          <w:sz w:val="18"/>
          <w:szCs w:val="18"/>
        </w:rPr>
      </w:pPr>
      <w:r w:rsidRPr="007148A6">
        <w:rPr>
          <w:rStyle w:val="Refdenotaalpie"/>
          <w:rFonts w:ascii="Arial" w:hAnsi="Arial" w:cs="Arial"/>
          <w:sz w:val="18"/>
          <w:szCs w:val="18"/>
        </w:rPr>
        <w:footnoteRef/>
      </w:r>
      <w:r w:rsidRPr="007148A6">
        <w:rPr>
          <w:rFonts w:ascii="Arial" w:hAnsi="Arial" w:cs="Arial"/>
          <w:sz w:val="18"/>
          <w:szCs w:val="18"/>
        </w:rPr>
        <w:t xml:space="preserve"> Si bien esto puede tomarse como una contradicción a la propuesta general, es una aceptación realista de los inconvenientes que entorpecerían un régimen sin coparticipación.</w:t>
      </w:r>
    </w:p>
  </w:footnote>
  <w:footnote w:id="9">
    <w:p w14:paraId="549A0E47" w14:textId="01781F26" w:rsidR="007148A6" w:rsidRPr="007148A6" w:rsidRDefault="007148A6">
      <w:pPr>
        <w:pStyle w:val="Textonotapie"/>
        <w:rPr>
          <w:rFonts w:ascii="Arial" w:hAnsi="Arial" w:cs="Arial"/>
          <w:sz w:val="18"/>
          <w:szCs w:val="18"/>
        </w:rPr>
      </w:pPr>
      <w:r w:rsidRPr="007148A6">
        <w:rPr>
          <w:rStyle w:val="Refdenotaalpie"/>
          <w:rFonts w:ascii="Arial" w:hAnsi="Arial" w:cs="Arial"/>
          <w:sz w:val="18"/>
          <w:szCs w:val="18"/>
        </w:rPr>
        <w:footnoteRef/>
      </w:r>
      <w:r w:rsidRPr="007148A6">
        <w:rPr>
          <w:rFonts w:ascii="Arial" w:hAnsi="Arial" w:cs="Arial"/>
          <w:sz w:val="18"/>
          <w:szCs w:val="18"/>
        </w:rPr>
        <w:t xml:space="preserve"> Ver nota 6.</w:t>
      </w:r>
    </w:p>
  </w:footnote>
  <w:footnote w:id="10">
    <w:p w14:paraId="0616AA94" w14:textId="5B2DD7BD" w:rsidR="007148A6" w:rsidRPr="007148A6" w:rsidRDefault="007148A6" w:rsidP="007F12E8">
      <w:pPr>
        <w:pStyle w:val="Textonotapie"/>
        <w:spacing w:before="60" w:after="60"/>
        <w:jc w:val="both"/>
        <w:rPr>
          <w:rFonts w:ascii="Arial" w:hAnsi="Arial" w:cs="Arial"/>
          <w:sz w:val="18"/>
          <w:szCs w:val="18"/>
        </w:rPr>
      </w:pPr>
      <w:r w:rsidRPr="007148A6">
        <w:rPr>
          <w:rStyle w:val="Refdenotaalpie"/>
          <w:rFonts w:ascii="Arial" w:hAnsi="Arial" w:cs="Arial"/>
          <w:sz w:val="18"/>
          <w:szCs w:val="18"/>
        </w:rPr>
        <w:footnoteRef/>
      </w:r>
      <w:r w:rsidRPr="007148A6">
        <w:rPr>
          <w:rFonts w:ascii="Arial" w:hAnsi="Arial" w:cs="Arial"/>
          <w:sz w:val="18"/>
          <w:szCs w:val="18"/>
        </w:rPr>
        <w:t xml:space="preserve"> Ejemplifica Piffano que si un gobierno subnacional depende en un 90% de financiamiento del gobierno federal y proyectara incrementar su gasto en un 10% debería aumentar la carga tributaria de sus ciudadanos en un 100% lo que involucraría un costo político inviable, por lo que ese gobierno intentará negociar mayores trasferencias.</w:t>
      </w:r>
    </w:p>
  </w:footnote>
  <w:footnote w:id="11">
    <w:p w14:paraId="635A480A" w14:textId="6BF68AC7" w:rsidR="007148A6" w:rsidRPr="007148A6" w:rsidRDefault="007148A6" w:rsidP="007E58E1">
      <w:pPr>
        <w:pStyle w:val="Textonotapie"/>
        <w:spacing w:after="60"/>
        <w:jc w:val="both"/>
        <w:rPr>
          <w:rFonts w:ascii="Arial" w:hAnsi="Arial" w:cs="Arial"/>
          <w:sz w:val="18"/>
          <w:szCs w:val="18"/>
        </w:rPr>
      </w:pPr>
      <w:r w:rsidRPr="007148A6">
        <w:rPr>
          <w:rStyle w:val="Refdenotaalpie"/>
          <w:rFonts w:ascii="Arial" w:hAnsi="Arial" w:cs="Arial"/>
          <w:sz w:val="18"/>
          <w:szCs w:val="18"/>
        </w:rPr>
        <w:footnoteRef/>
      </w:r>
      <w:r w:rsidRPr="007148A6">
        <w:rPr>
          <w:rFonts w:ascii="Arial" w:hAnsi="Arial" w:cs="Arial"/>
          <w:sz w:val="18"/>
          <w:szCs w:val="18"/>
        </w:rPr>
        <w:t xml:space="preserve"> En realidad, si se analiza en forma completa la obra de Musgrave, puede deducirse que falta uno de los principios que se desprende de lo aportado por este autor: el logro de un crecimiento armónico de la capacidad de generar mayor nivel de ingresos de la economía (o función de crecimiento de la oferta agregada). Véanse </w:t>
      </w:r>
      <w:bookmarkStart w:id="0" w:name="_Hlk37441456"/>
      <w:r w:rsidRPr="007148A6">
        <w:rPr>
          <w:rFonts w:ascii="Arial" w:hAnsi="Arial" w:cs="Arial"/>
          <w:caps/>
          <w:sz w:val="18"/>
          <w:szCs w:val="18"/>
        </w:rPr>
        <w:t>Musgrave</w:t>
      </w:r>
      <w:r w:rsidRPr="007148A6">
        <w:rPr>
          <w:rFonts w:ascii="Arial" w:hAnsi="Arial" w:cs="Arial"/>
          <w:sz w:val="18"/>
          <w:szCs w:val="18"/>
        </w:rPr>
        <w:t xml:space="preserve"> R. A. y </w:t>
      </w:r>
      <w:r w:rsidRPr="007148A6">
        <w:rPr>
          <w:rFonts w:ascii="Arial" w:hAnsi="Arial" w:cs="Arial"/>
          <w:caps/>
          <w:sz w:val="18"/>
          <w:szCs w:val="18"/>
        </w:rPr>
        <w:t>Musgrave</w:t>
      </w:r>
      <w:r w:rsidRPr="007148A6">
        <w:rPr>
          <w:rFonts w:ascii="Arial" w:hAnsi="Arial" w:cs="Arial"/>
          <w:sz w:val="18"/>
          <w:szCs w:val="18"/>
        </w:rPr>
        <w:t xml:space="preserve">, P. B., </w:t>
      </w:r>
      <w:r w:rsidRPr="007148A6">
        <w:rPr>
          <w:rFonts w:ascii="Arial" w:hAnsi="Arial" w:cs="Arial"/>
          <w:i/>
          <w:iCs/>
          <w:sz w:val="18"/>
          <w:szCs w:val="18"/>
        </w:rPr>
        <w:t>Hacienda pública teórica y aplicada</w:t>
      </w:r>
      <w:r w:rsidRPr="007148A6">
        <w:rPr>
          <w:rFonts w:ascii="Arial" w:hAnsi="Arial" w:cs="Arial"/>
          <w:sz w:val="18"/>
          <w:szCs w:val="18"/>
        </w:rPr>
        <w:t xml:space="preserve">, 5ta. ed. (Madrid, McGraw Hill, 1991) y </w:t>
      </w:r>
      <w:r w:rsidRPr="007148A6">
        <w:rPr>
          <w:rFonts w:ascii="Arial" w:hAnsi="Arial" w:cs="Arial"/>
          <w:caps/>
          <w:sz w:val="18"/>
          <w:szCs w:val="18"/>
        </w:rPr>
        <w:t>Musgrave</w:t>
      </w:r>
      <w:r w:rsidRPr="007148A6">
        <w:rPr>
          <w:rFonts w:ascii="Arial" w:hAnsi="Arial" w:cs="Arial"/>
          <w:sz w:val="18"/>
          <w:szCs w:val="18"/>
        </w:rPr>
        <w:t xml:space="preserve">, R. A., </w:t>
      </w:r>
      <w:r w:rsidRPr="007148A6">
        <w:rPr>
          <w:rFonts w:ascii="Arial" w:hAnsi="Arial" w:cs="Arial"/>
          <w:i/>
          <w:iCs/>
          <w:sz w:val="18"/>
          <w:szCs w:val="18"/>
        </w:rPr>
        <w:t>Sistemas ficales</w:t>
      </w:r>
      <w:r w:rsidRPr="007148A6">
        <w:rPr>
          <w:rFonts w:ascii="Arial" w:hAnsi="Arial" w:cs="Arial"/>
          <w:sz w:val="18"/>
          <w:szCs w:val="18"/>
        </w:rPr>
        <w:t xml:space="preserve"> (Madrid, Aguilar, 1973).</w:t>
      </w:r>
    </w:p>
    <w:bookmarkEnd w:id="0"/>
  </w:footnote>
  <w:footnote w:id="12">
    <w:p w14:paraId="377BC4E2" w14:textId="44388566" w:rsidR="007148A6" w:rsidRPr="007148A6" w:rsidRDefault="007148A6" w:rsidP="007E58E1">
      <w:pPr>
        <w:pStyle w:val="Textonotapie"/>
        <w:spacing w:after="60"/>
        <w:rPr>
          <w:rFonts w:ascii="Arial" w:hAnsi="Arial" w:cs="Arial"/>
        </w:rPr>
      </w:pPr>
      <w:r w:rsidRPr="007148A6">
        <w:rPr>
          <w:rStyle w:val="Refdenotaalpie"/>
          <w:rFonts w:ascii="Arial" w:hAnsi="Arial" w:cs="Arial"/>
          <w:sz w:val="18"/>
          <w:szCs w:val="18"/>
        </w:rPr>
        <w:footnoteRef/>
      </w:r>
      <w:r w:rsidRPr="007148A6">
        <w:rPr>
          <w:rFonts w:ascii="Arial" w:hAnsi="Arial" w:cs="Arial"/>
          <w:sz w:val="18"/>
          <w:szCs w:val="18"/>
        </w:rPr>
        <w:t xml:space="preserve"> Piffano no está de acuerdo con un IVA provincial como el que recomienda la propuesta del CEA.</w:t>
      </w:r>
    </w:p>
  </w:footnote>
  <w:footnote w:id="13">
    <w:p w14:paraId="293B31C5" w14:textId="362F8038" w:rsidR="007148A6" w:rsidRPr="007148A6" w:rsidRDefault="007148A6" w:rsidP="007E58E1">
      <w:pPr>
        <w:pStyle w:val="Textonotapie"/>
        <w:jc w:val="both"/>
        <w:rPr>
          <w:rFonts w:ascii="Arial" w:hAnsi="Arial" w:cs="Arial"/>
        </w:rPr>
      </w:pPr>
      <w:r w:rsidRPr="007148A6">
        <w:rPr>
          <w:rStyle w:val="Refdenotaalpie"/>
          <w:rFonts w:ascii="Arial" w:hAnsi="Arial" w:cs="Arial"/>
          <w:sz w:val="18"/>
          <w:szCs w:val="18"/>
        </w:rPr>
        <w:footnoteRef/>
      </w:r>
      <w:r w:rsidRPr="007148A6">
        <w:rPr>
          <w:rFonts w:ascii="Arial" w:hAnsi="Arial" w:cs="Arial"/>
          <w:sz w:val="18"/>
          <w:szCs w:val="18"/>
        </w:rPr>
        <w:t xml:space="preserve"> Alejandro Pérez Hualde es profesor en la Facultad de Derecho de la U. N. Cuyo y en otra universidades y hasta 2019 fue magistrado de la Suprema Corte de Justicia de la Provincia de Mendoza. Es además miembro de importantes instituciones nacionales e internacionales.</w:t>
      </w:r>
    </w:p>
  </w:footnote>
  <w:footnote w:id="14">
    <w:p w14:paraId="284438A3" w14:textId="5BE8C534" w:rsidR="007148A6" w:rsidRPr="007E58E1" w:rsidRDefault="007148A6" w:rsidP="00501EF9">
      <w:pPr>
        <w:pStyle w:val="Textonotapie"/>
        <w:jc w:val="both"/>
        <w:rPr>
          <w:rFonts w:ascii="Calibri" w:hAnsi="Calibri" w:cs="Calibri"/>
          <w:sz w:val="18"/>
          <w:szCs w:val="18"/>
        </w:rPr>
      </w:pPr>
      <w:r w:rsidRPr="007E58E1">
        <w:rPr>
          <w:rStyle w:val="Refdenotaalpie"/>
          <w:rFonts w:ascii="Calibri" w:hAnsi="Calibri" w:cs="Calibri"/>
          <w:sz w:val="18"/>
          <w:szCs w:val="18"/>
        </w:rPr>
        <w:footnoteRef/>
      </w:r>
      <w:r w:rsidRPr="007E58E1">
        <w:rPr>
          <w:rFonts w:ascii="Calibri" w:hAnsi="Calibri" w:cs="Calibri"/>
          <w:sz w:val="18"/>
          <w:szCs w:val="18"/>
        </w:rPr>
        <w:t xml:space="preserve"> A pesar de los argumentos expresados por el trabajo de CEA y el del Prof. Piffano, ya existe un precedente que en el que se puede apreciar que no surge ningún inconveniente de abarcar todos los tributos en un régimen de reparto: es caso de la ley de participación de impuestos de la provincia de Mendoza que rigió entre 1988 y 1996 (Ley 5379). En ella, todos los impuestos provinciales, los recursos recibidos del gobierno nacional por el régimen de coparticipación federal y las regalías por el uso de recursos naturales no renovables, fueron integrantes de la masa coparticipable.</w:t>
      </w:r>
    </w:p>
  </w:footnote>
  <w:footnote w:id="15">
    <w:p w14:paraId="4B262415" w14:textId="35CCB242" w:rsidR="007148A6" w:rsidRPr="007E58E1" w:rsidRDefault="007148A6" w:rsidP="00B654B6">
      <w:pPr>
        <w:pStyle w:val="Textonotapie"/>
        <w:spacing w:before="60"/>
        <w:jc w:val="both"/>
        <w:rPr>
          <w:rFonts w:ascii="Calibri" w:hAnsi="Calibri" w:cs="Calibri"/>
          <w:sz w:val="18"/>
          <w:szCs w:val="18"/>
        </w:rPr>
      </w:pPr>
      <w:r w:rsidRPr="007E58E1">
        <w:rPr>
          <w:rStyle w:val="Refdenotaalpie"/>
          <w:rFonts w:ascii="Calibri" w:hAnsi="Calibri" w:cs="Calibri"/>
          <w:sz w:val="18"/>
          <w:szCs w:val="18"/>
        </w:rPr>
        <w:footnoteRef/>
      </w:r>
      <w:r w:rsidRPr="007E58E1">
        <w:rPr>
          <w:rFonts w:ascii="Calibri" w:hAnsi="Calibri" w:cs="Calibri"/>
          <w:sz w:val="18"/>
          <w:szCs w:val="18"/>
        </w:rPr>
        <w:t xml:space="preserve"> En algunas provincias la mayor parte de lo que perciben por el impuesto sobre los ingresos brutos proviene del convenio multilateral y no de la recaudación de su propia administración tributaria.</w:t>
      </w:r>
    </w:p>
  </w:footnote>
  <w:footnote w:id="16">
    <w:p w14:paraId="229EB356" w14:textId="77777777" w:rsidR="007148A6" w:rsidRPr="007E58E1" w:rsidRDefault="007148A6" w:rsidP="00A76782">
      <w:pPr>
        <w:pStyle w:val="Textonotapie"/>
        <w:spacing w:before="60"/>
        <w:jc w:val="both"/>
        <w:rPr>
          <w:rFonts w:cstheme="minorHAnsi"/>
          <w:sz w:val="18"/>
          <w:szCs w:val="18"/>
        </w:rPr>
      </w:pPr>
      <w:r w:rsidRPr="007E58E1">
        <w:rPr>
          <w:rStyle w:val="Refdenotaalpie"/>
          <w:rFonts w:cstheme="minorHAnsi"/>
          <w:sz w:val="18"/>
          <w:szCs w:val="18"/>
        </w:rPr>
        <w:footnoteRef/>
      </w:r>
      <w:r w:rsidRPr="007E58E1">
        <w:rPr>
          <w:rFonts w:cstheme="minorHAnsi"/>
          <w:sz w:val="18"/>
          <w:szCs w:val="18"/>
        </w:rPr>
        <w:t xml:space="preserve"> Este aumento de participación de la CABA no afectó a las demás jurisdicciones sino a la participación del nivel nacional según la Ley 23.548, cumpliéndose así con lo establecido en el quinto párrafo del artículo 75, inc. 2, de la Constitución Nacional.</w:t>
      </w:r>
    </w:p>
  </w:footnote>
  <w:footnote w:id="17">
    <w:p w14:paraId="497D3BF2" w14:textId="6ACAF28B" w:rsidR="007148A6" w:rsidRPr="007148A6" w:rsidRDefault="007148A6" w:rsidP="00AE04C9">
      <w:pPr>
        <w:pStyle w:val="Textonotapie"/>
        <w:spacing w:before="60"/>
        <w:jc w:val="both"/>
        <w:rPr>
          <w:rFonts w:ascii="Arial" w:hAnsi="Arial" w:cs="Arial"/>
          <w:sz w:val="18"/>
          <w:szCs w:val="18"/>
        </w:rPr>
      </w:pPr>
      <w:r w:rsidRPr="007148A6">
        <w:rPr>
          <w:rStyle w:val="Refdenotaalpie"/>
          <w:rFonts w:ascii="Arial" w:hAnsi="Arial" w:cs="Arial"/>
          <w:sz w:val="18"/>
          <w:szCs w:val="18"/>
        </w:rPr>
        <w:footnoteRef/>
      </w:r>
      <w:r w:rsidRPr="007148A6">
        <w:rPr>
          <w:rFonts w:ascii="Arial" w:hAnsi="Arial" w:cs="Arial"/>
          <w:sz w:val="18"/>
          <w:szCs w:val="18"/>
        </w:rPr>
        <w:t xml:space="preserve"> El NBI toma en cuenta las carencias en cuanto a vivienda, condiciones sanitarias, hacinamiento, asistencia escolar y capacidad de subsistencia. El IDH se construye sobre la base de la esperanza de vida al nacer, el ingreso familiar per cápita y años de educación aprobados. Para una explicación más amplia </w:t>
      </w:r>
      <w:bookmarkStart w:id="1" w:name="_Hlk37441539"/>
      <w:r w:rsidRPr="007148A6">
        <w:rPr>
          <w:rFonts w:ascii="Arial" w:hAnsi="Arial" w:cs="Arial"/>
          <w:sz w:val="18"/>
          <w:szCs w:val="18"/>
        </w:rPr>
        <w:t xml:space="preserve">véase VEGA, J. A., DIBLASI, J. V. y GONZÁLEZ OROZCO, M. F, “Una visión sobre el régimen de coparticipación federal” en </w:t>
      </w:r>
      <w:r w:rsidRPr="007148A6">
        <w:rPr>
          <w:rFonts w:ascii="Arial" w:hAnsi="Arial" w:cs="Arial"/>
          <w:i/>
          <w:iCs/>
          <w:sz w:val="18"/>
          <w:szCs w:val="18"/>
        </w:rPr>
        <w:t>47</w:t>
      </w:r>
      <w:r w:rsidRPr="007148A6">
        <w:rPr>
          <w:rFonts w:ascii="Arial" w:hAnsi="Arial" w:cs="Arial"/>
          <w:i/>
          <w:iCs/>
          <w:sz w:val="18"/>
          <w:szCs w:val="18"/>
          <w:vertAlign w:val="superscript"/>
        </w:rPr>
        <w:t>as</w:t>
      </w:r>
      <w:r w:rsidRPr="007148A6">
        <w:rPr>
          <w:rFonts w:ascii="Arial" w:hAnsi="Arial" w:cs="Arial"/>
          <w:i/>
          <w:iCs/>
          <w:sz w:val="18"/>
          <w:szCs w:val="18"/>
        </w:rPr>
        <w:t xml:space="preserve"> Jornadas Internacionales de Finanzas Públicas</w:t>
      </w:r>
      <w:r w:rsidRPr="007148A6">
        <w:rPr>
          <w:rFonts w:ascii="Arial" w:hAnsi="Arial" w:cs="Arial"/>
          <w:sz w:val="18"/>
          <w:szCs w:val="18"/>
        </w:rPr>
        <w:t xml:space="preserve"> (Córdoba, septiembre 2014).</w:t>
      </w:r>
    </w:p>
    <w:bookmarkStart w:id="2" w:name="_Hlk37441645"/>
    <w:bookmarkEnd w:id="1"/>
  </w:footnote>
  <w:footnote w:id="18">
    <w:p w14:paraId="3FEB4432" w14:textId="187C5618" w:rsidR="007148A6" w:rsidRPr="007148A6" w:rsidRDefault="007148A6" w:rsidP="00EE072E">
      <w:pPr>
        <w:pStyle w:val="Textonotapie"/>
        <w:jc w:val="both"/>
        <w:rPr>
          <w:rFonts w:ascii="Arial" w:hAnsi="Arial" w:cs="Arial"/>
          <w:sz w:val="18"/>
          <w:szCs w:val="18"/>
        </w:rPr>
      </w:pPr>
      <w:bookmarkStart w:id="3" w:name="_Hlk37441645"/>
      <w:r w:rsidRPr="007148A6">
        <w:rPr>
          <w:rStyle w:val="Refdenotaalpie"/>
          <w:rFonts w:ascii="Arial" w:hAnsi="Arial" w:cs="Arial"/>
          <w:sz w:val="18"/>
          <w:szCs w:val="18"/>
        </w:rPr>
        <w:footnoteRef/>
      </w:r>
      <w:r w:rsidRPr="007148A6">
        <w:rPr>
          <w:rFonts w:ascii="Arial" w:hAnsi="Arial" w:cs="Arial"/>
          <w:sz w:val="18"/>
          <w:szCs w:val="18"/>
        </w:rPr>
        <w:t xml:space="preserve"> VEGA, J. A., ARAUJO FURLAN, S. G. y ZAVI, C. V., “La ley de coparticipación federal: una mora injustificada” en </w:t>
      </w:r>
      <w:r w:rsidRPr="007148A6">
        <w:rPr>
          <w:rFonts w:ascii="Arial" w:hAnsi="Arial" w:cs="Arial"/>
          <w:i/>
          <w:iCs/>
          <w:sz w:val="18"/>
          <w:szCs w:val="18"/>
        </w:rPr>
        <w:t>52</w:t>
      </w:r>
      <w:r w:rsidRPr="007148A6">
        <w:rPr>
          <w:rFonts w:ascii="Arial" w:hAnsi="Arial" w:cs="Arial"/>
          <w:i/>
          <w:iCs/>
          <w:sz w:val="18"/>
          <w:szCs w:val="18"/>
          <w:vertAlign w:val="superscript"/>
        </w:rPr>
        <w:t>as</w:t>
      </w:r>
      <w:r w:rsidRPr="007148A6">
        <w:rPr>
          <w:rFonts w:ascii="Arial" w:hAnsi="Arial" w:cs="Arial"/>
          <w:i/>
          <w:iCs/>
          <w:sz w:val="18"/>
          <w:szCs w:val="18"/>
        </w:rPr>
        <w:t xml:space="preserve"> Jornadas Internacionales de Finanzas Públicas</w:t>
      </w:r>
      <w:r w:rsidRPr="007148A6">
        <w:rPr>
          <w:rFonts w:ascii="Arial" w:hAnsi="Arial" w:cs="Arial"/>
          <w:sz w:val="18"/>
          <w:szCs w:val="18"/>
        </w:rPr>
        <w:t xml:space="preserve"> (Córdoba, UN Córdoba, 2019).</w:t>
      </w:r>
      <w:bookmarkEnd w:id="3"/>
    </w:p>
  </w:footnote>
  <w:footnote w:id="19">
    <w:p w14:paraId="1B54D917" w14:textId="6B46081F" w:rsidR="007148A6" w:rsidRPr="007148A6" w:rsidRDefault="007148A6" w:rsidP="00F078A0">
      <w:pPr>
        <w:pStyle w:val="Textonotapie"/>
        <w:spacing w:before="60" w:after="60"/>
        <w:rPr>
          <w:rFonts w:ascii="Arial" w:hAnsi="Arial" w:cs="Arial"/>
        </w:rPr>
      </w:pPr>
      <w:r w:rsidRPr="007148A6">
        <w:rPr>
          <w:rStyle w:val="Refdenotaalpie"/>
          <w:rFonts w:ascii="Arial" w:hAnsi="Arial" w:cs="Arial"/>
          <w:sz w:val="18"/>
          <w:szCs w:val="18"/>
        </w:rPr>
        <w:footnoteRef/>
      </w:r>
      <w:r w:rsidRPr="007148A6">
        <w:rPr>
          <w:rFonts w:ascii="Arial" w:hAnsi="Arial" w:cs="Arial"/>
          <w:sz w:val="18"/>
          <w:szCs w:val="18"/>
        </w:rPr>
        <w:t xml:space="preserve"> Este indicador ya fue utilizado en el trabajo anterior citado.</w:t>
      </w:r>
    </w:p>
  </w:footnote>
  <w:footnote w:id="20">
    <w:p w14:paraId="15224061" w14:textId="2B6BDCD3" w:rsidR="007148A6" w:rsidRPr="007148A6" w:rsidRDefault="007148A6" w:rsidP="00F078A0">
      <w:pPr>
        <w:spacing w:before="60" w:after="60" w:line="240" w:lineRule="auto"/>
        <w:jc w:val="both"/>
        <w:rPr>
          <w:rFonts w:ascii="Arial" w:hAnsi="Arial" w:cs="Arial"/>
        </w:rPr>
      </w:pPr>
      <w:r w:rsidRPr="007148A6">
        <w:rPr>
          <w:rStyle w:val="Refdenotaalpie"/>
          <w:rFonts w:ascii="Arial" w:hAnsi="Arial" w:cs="Arial"/>
          <w:sz w:val="18"/>
          <w:szCs w:val="18"/>
        </w:rPr>
        <w:footnoteRef/>
      </w:r>
      <w:r w:rsidRPr="007148A6">
        <w:rPr>
          <w:rFonts w:ascii="Arial" w:hAnsi="Arial" w:cs="Arial"/>
          <w:sz w:val="18"/>
          <w:szCs w:val="18"/>
        </w:rPr>
        <w:t xml:space="preserve"> La ley provincial 5379, aprobada por unanimidad por la Legislatura provincial durante la gestión del gobernador José O. Bordón (1987/1991) y que fuera recomendada por el Banco Mundial como modelo a seguir por las demás provincias. Esta ley fue derogada en 1996 y reemplazada por la 6396 (provisoria, pero aún vigente), abandonándose los incentivos citados. Puede encontrarse fundamentos a la utilización de índices como éstos en </w:t>
      </w:r>
      <w:bookmarkStart w:id="4" w:name="_Hlk37441981"/>
      <w:r w:rsidRPr="007148A6">
        <w:rPr>
          <w:rFonts w:ascii="Arial" w:hAnsi="Arial" w:cs="Arial"/>
          <w:sz w:val="18"/>
          <w:szCs w:val="18"/>
        </w:rPr>
        <w:t xml:space="preserve">VEGA, J. A., </w:t>
      </w:r>
      <w:r w:rsidRPr="007148A6">
        <w:rPr>
          <w:rFonts w:ascii="Arial" w:hAnsi="Arial" w:cs="Arial"/>
          <w:caps/>
          <w:sz w:val="18"/>
          <w:szCs w:val="18"/>
        </w:rPr>
        <w:t>Diblas</w:t>
      </w:r>
      <w:r w:rsidRPr="007148A6">
        <w:rPr>
          <w:rFonts w:ascii="Arial" w:hAnsi="Arial" w:cs="Arial"/>
          <w:sz w:val="18"/>
          <w:szCs w:val="18"/>
        </w:rPr>
        <w:t xml:space="preserve">I, J. V. y GARCÍA OROZCO, J. C., </w:t>
      </w:r>
      <w:r w:rsidRPr="007148A6">
        <w:rPr>
          <w:rFonts w:ascii="Arial" w:eastAsia="Calibri" w:hAnsi="Arial" w:cs="Arial"/>
          <w:sz w:val="18"/>
          <w:szCs w:val="18"/>
        </w:rPr>
        <w:t xml:space="preserve">“Bases para un nuevo régimen de coparticipación municipal de impuestos (Provincia de Mendoza)” en </w:t>
      </w:r>
      <w:r w:rsidRPr="007148A6">
        <w:rPr>
          <w:rFonts w:ascii="Arial" w:eastAsia="Calibri" w:hAnsi="Arial" w:cs="Arial"/>
          <w:i/>
          <w:sz w:val="18"/>
          <w:szCs w:val="18"/>
        </w:rPr>
        <w:t>43</w:t>
      </w:r>
      <w:r w:rsidRPr="007148A6">
        <w:rPr>
          <w:rFonts w:ascii="Arial" w:hAnsi="Arial" w:cs="Arial"/>
          <w:i/>
          <w:iCs/>
          <w:sz w:val="18"/>
          <w:szCs w:val="18"/>
          <w:vertAlign w:val="superscript"/>
        </w:rPr>
        <w:t>as</w:t>
      </w:r>
      <w:r w:rsidRPr="007148A6">
        <w:rPr>
          <w:rFonts w:ascii="Arial" w:eastAsia="Calibri" w:hAnsi="Arial" w:cs="Arial"/>
          <w:i/>
          <w:sz w:val="18"/>
          <w:szCs w:val="18"/>
        </w:rPr>
        <w:t xml:space="preserve"> Jornadas Internacionales de Finanzas Públicas</w:t>
      </w:r>
      <w:r w:rsidRPr="007148A6">
        <w:rPr>
          <w:rFonts w:ascii="Arial" w:eastAsia="Calibri" w:hAnsi="Arial" w:cs="Arial"/>
          <w:sz w:val="18"/>
          <w:szCs w:val="18"/>
        </w:rPr>
        <w:t xml:space="preserve"> (Córdoba, UN Córdoba, 2010). </w:t>
      </w:r>
    </w:p>
    <w:bookmarkEnd w:id="4"/>
  </w:footnote>
  <w:footnote w:id="21">
    <w:p w14:paraId="64C858BE" w14:textId="77777777" w:rsidR="007148A6" w:rsidRPr="007148A6" w:rsidRDefault="007148A6" w:rsidP="002B4347">
      <w:pPr>
        <w:pStyle w:val="Textonotapie"/>
        <w:jc w:val="both"/>
        <w:rPr>
          <w:rFonts w:ascii="Arial" w:hAnsi="Arial" w:cs="Arial"/>
          <w:sz w:val="18"/>
          <w:szCs w:val="18"/>
        </w:rPr>
      </w:pPr>
      <w:r w:rsidRPr="007148A6">
        <w:rPr>
          <w:rStyle w:val="Refdenotaalpie"/>
          <w:rFonts w:ascii="Arial" w:hAnsi="Arial" w:cs="Arial"/>
          <w:sz w:val="18"/>
          <w:szCs w:val="18"/>
        </w:rPr>
        <w:footnoteRef/>
      </w:r>
      <w:r w:rsidRPr="007148A6">
        <w:rPr>
          <w:rFonts w:ascii="Arial" w:hAnsi="Arial" w:cs="Arial"/>
          <w:sz w:val="18"/>
          <w:szCs w:val="18"/>
        </w:rPr>
        <w:t xml:space="preserve"> No obstante, las normas de estas leyes son exceptuadas de su cumplimiento por cuestiones coyunturales por acuerdos entre la Nación y las provincias por las leyes de Consenso Fiscal, sancionadas en 2017 (27.429), 2018 (27.469) y 2019 (27.542), también leyes convenio entre ambos niveles de gobierno.</w:t>
      </w:r>
    </w:p>
  </w:footnote>
  <w:footnote w:id="22">
    <w:p w14:paraId="30402019" w14:textId="5F8DC9D6" w:rsidR="007148A6" w:rsidRPr="007148A6" w:rsidRDefault="007148A6" w:rsidP="00E817FC">
      <w:pPr>
        <w:pStyle w:val="Textonotapie"/>
        <w:spacing w:after="60"/>
        <w:jc w:val="both"/>
        <w:rPr>
          <w:rFonts w:ascii="Arial" w:hAnsi="Arial" w:cs="Arial"/>
          <w:sz w:val="18"/>
          <w:szCs w:val="18"/>
        </w:rPr>
      </w:pPr>
      <w:r w:rsidRPr="007148A6">
        <w:rPr>
          <w:rStyle w:val="Refdenotaalpie"/>
          <w:rFonts w:ascii="Arial" w:hAnsi="Arial" w:cs="Arial"/>
          <w:sz w:val="18"/>
          <w:szCs w:val="18"/>
        </w:rPr>
        <w:footnoteRef/>
      </w:r>
      <w:r w:rsidRPr="007148A6">
        <w:rPr>
          <w:rFonts w:ascii="Arial" w:hAnsi="Arial" w:cs="Arial"/>
          <w:sz w:val="18"/>
          <w:szCs w:val="18"/>
        </w:rPr>
        <w:t xml:space="preserve"> La experiencia de la Provincia de Mendoza con su ley de coparticipación municipal ya citada (Ley 5.379 que rigió entre 1988 y 1996) es interesante al respecto: se aumentó la distribución primaria incluyendo en la masa coparticipable todos los tributos provinciales, las regalías y lo recibido por el régimen de coparticipación federal por lo que se incrementaron las participaciones de todos los municipios, de forma tal que ninguno de ellos perdió posición absoluta. Además, con el mejoramiento de la administración tributaria y el crecimiento de la economía, también el nivel provincial incrementó sus ingresos. </w:t>
      </w:r>
    </w:p>
  </w:footnote>
  <w:footnote w:id="23">
    <w:p w14:paraId="2ED82AC3" w14:textId="7E8CF83A" w:rsidR="007148A6" w:rsidRPr="007148A6" w:rsidRDefault="007148A6" w:rsidP="004B0FFA">
      <w:pPr>
        <w:pStyle w:val="Textonotapie"/>
        <w:spacing w:before="60" w:after="60"/>
        <w:jc w:val="both"/>
        <w:rPr>
          <w:rFonts w:ascii="Arial" w:hAnsi="Arial" w:cs="Arial"/>
          <w:sz w:val="18"/>
          <w:szCs w:val="18"/>
        </w:rPr>
      </w:pPr>
      <w:r w:rsidRPr="007148A6">
        <w:rPr>
          <w:rStyle w:val="Refdenotaalpie"/>
          <w:rFonts w:ascii="Arial" w:hAnsi="Arial" w:cs="Arial"/>
          <w:sz w:val="18"/>
          <w:szCs w:val="18"/>
        </w:rPr>
        <w:footnoteRef/>
      </w:r>
      <w:r w:rsidRPr="007148A6">
        <w:rPr>
          <w:rFonts w:ascii="Arial" w:hAnsi="Arial" w:cs="Arial"/>
          <w:sz w:val="18"/>
          <w:szCs w:val="18"/>
        </w:rPr>
        <w:t xml:space="preserve"> En los trabajos anteriores citados se tomó el indicador NBI por porcentaje de </w:t>
      </w:r>
      <w:r w:rsidRPr="007148A6">
        <w:rPr>
          <w:rFonts w:ascii="Arial" w:hAnsi="Arial" w:cs="Arial"/>
          <w:i/>
          <w:iCs/>
          <w:sz w:val="18"/>
          <w:szCs w:val="18"/>
        </w:rPr>
        <w:t>hogares</w:t>
      </w:r>
      <w:r w:rsidRPr="007148A6">
        <w:rPr>
          <w:rFonts w:ascii="Arial" w:hAnsi="Arial" w:cs="Arial"/>
          <w:sz w:val="18"/>
          <w:szCs w:val="18"/>
        </w:rPr>
        <w:t xml:space="preserve"> con necesidades básicas insatisfechas. En esta oportunidad se ha tomado el índice de porcentaje de </w:t>
      </w:r>
      <w:r w:rsidRPr="007148A6">
        <w:rPr>
          <w:rFonts w:ascii="Arial" w:hAnsi="Arial" w:cs="Arial"/>
          <w:i/>
          <w:iCs/>
          <w:sz w:val="18"/>
          <w:szCs w:val="18"/>
        </w:rPr>
        <w:t>habitantes</w:t>
      </w:r>
      <w:r w:rsidRPr="007148A6">
        <w:rPr>
          <w:rFonts w:ascii="Arial" w:hAnsi="Arial" w:cs="Arial"/>
          <w:sz w:val="18"/>
          <w:szCs w:val="18"/>
        </w:rPr>
        <w:t xml:space="preserve"> con NBI. En lo que respecta al IDH (utilizado en las propuestas incluidas en trabajos anteriores), en esta oportunidad, debido a la disponibilidad de información se ha utilizado una aproximación del mismo: el índice de desarrollo sostenible provincial (IDSP), que es armado también por el PNUD.</w:t>
      </w:r>
      <w:r w:rsidRPr="007148A6">
        <w:rPr>
          <w:rFonts w:ascii="Arial" w:hAnsi="Arial" w:cs="Arial"/>
          <w:color w:val="2F5496" w:themeColor="accent1" w:themeShade="BF"/>
          <w:sz w:val="18"/>
          <w:szCs w:val="18"/>
        </w:rPr>
        <w:t xml:space="preserve"> </w:t>
      </w:r>
      <w:r w:rsidRPr="007148A6">
        <w:rPr>
          <w:rFonts w:ascii="Arial" w:hAnsi="Arial" w:cs="Arial"/>
          <w:sz w:val="18"/>
          <w:szCs w:val="18"/>
        </w:rPr>
        <w:t>Este índice se compone de variables que apuntan a capturar la dimensión del crecimiento económico (ingreso per cápita y capital humano), la inclusión social (pobreza relativa, empleo formal e informal, salud y educación) y la sostenibilidad ambiental (emisiones de gases de efecto invernadero y generación y disposición de residuos). El dato utilizado para este indicador corresponde a 2016 ya que es el último publicado.</w:t>
      </w:r>
    </w:p>
  </w:footnote>
  <w:footnote w:id="24">
    <w:p w14:paraId="29F780C5" w14:textId="6C80FAD3" w:rsidR="007148A6" w:rsidRPr="007148A6" w:rsidRDefault="007148A6">
      <w:pPr>
        <w:pStyle w:val="Textonotapie"/>
        <w:rPr>
          <w:rFonts w:ascii="Arial" w:hAnsi="Arial" w:cs="Arial"/>
          <w:sz w:val="18"/>
          <w:szCs w:val="18"/>
        </w:rPr>
      </w:pPr>
      <w:r w:rsidRPr="007148A6">
        <w:rPr>
          <w:rStyle w:val="Refdenotaalpie"/>
          <w:rFonts w:ascii="Arial" w:hAnsi="Arial" w:cs="Arial"/>
          <w:sz w:val="18"/>
          <w:szCs w:val="18"/>
        </w:rPr>
        <w:footnoteRef/>
      </w:r>
      <w:r w:rsidRPr="007148A6">
        <w:rPr>
          <w:rFonts w:ascii="Arial" w:hAnsi="Arial" w:cs="Arial"/>
          <w:sz w:val="18"/>
          <w:szCs w:val="18"/>
        </w:rPr>
        <w:t xml:space="preserve"> Estos dos cocientes están calculados sobre la base de los primeros 3 trimestres del 2019 por ser la información disponible al momento de cerrar este trabajo.</w:t>
      </w:r>
    </w:p>
  </w:footnote>
  <w:footnote w:id="25">
    <w:p w14:paraId="4F314FE6" w14:textId="6BD0FE8A" w:rsidR="007148A6" w:rsidRPr="007148A6" w:rsidRDefault="007148A6" w:rsidP="009D1B0D">
      <w:pPr>
        <w:widowControl w:val="0"/>
        <w:autoSpaceDE w:val="0"/>
        <w:autoSpaceDN w:val="0"/>
        <w:adjustRightInd w:val="0"/>
        <w:spacing w:before="60" w:after="0" w:line="240" w:lineRule="auto"/>
        <w:jc w:val="both"/>
        <w:rPr>
          <w:rFonts w:ascii="Arial" w:hAnsi="Arial" w:cs="Arial"/>
          <w:noProof/>
          <w:sz w:val="18"/>
          <w:szCs w:val="18"/>
        </w:rPr>
      </w:pPr>
      <w:r w:rsidRPr="007148A6">
        <w:rPr>
          <w:rStyle w:val="Refdenotaalpie"/>
          <w:rFonts w:ascii="Arial" w:hAnsi="Arial" w:cs="Arial"/>
        </w:rPr>
        <w:footnoteRef/>
      </w:r>
      <w:r w:rsidRPr="007148A6">
        <w:rPr>
          <w:rFonts w:ascii="Arial" w:hAnsi="Arial" w:cs="Arial"/>
        </w:rPr>
        <w:t xml:space="preserve"> </w:t>
      </w:r>
      <w:r w:rsidRPr="007148A6">
        <w:rPr>
          <w:rFonts w:ascii="Arial" w:hAnsi="Arial" w:cs="Arial"/>
          <w:sz w:val="18"/>
          <w:szCs w:val="18"/>
        </w:rPr>
        <w:t xml:space="preserve">La experiencia de la Provincia de Mendoza sobre estos dos componentes propuestos puede ser interesante. La Ley provincial 7314 establece un fondo anticíclico que se constituye con un mínimo del 50% </w:t>
      </w:r>
      <w:r w:rsidRPr="007148A6">
        <w:rPr>
          <w:rFonts w:ascii="Arial" w:hAnsi="Arial" w:cs="Arial"/>
          <w:bCs/>
          <w:noProof/>
          <w:sz w:val="18"/>
          <w:szCs w:val="18"/>
        </w:rPr>
        <w:t>del excedente de recursos corrientes de rentas generales, de cualquier origen, que se produzca respecto del cálculo previsto en el Presupuesto. Además establece un fondo anticíclico municipal integrado por un diez por ciento (10%) del excedente de recursos corrientes participables a ese nivel de gobierno que se produzca respecto del cálculo previsto en el Presupuesto. Este excedente de recursos</w:t>
      </w:r>
      <w:r w:rsidRPr="007148A6">
        <w:rPr>
          <w:rFonts w:ascii="Arial" w:hAnsi="Arial" w:cs="Arial"/>
          <w:noProof/>
          <w:sz w:val="18"/>
          <w:szCs w:val="18"/>
        </w:rPr>
        <w:t xml:space="preserve"> se debe distribuir entre los diferentes fondos anticíclicos municipales según el índice general de reparto que establece la ley de coparticipación municipal de la Provincia. Respecto del fondo de emergencia, la anterior ley de coparticipación  municipal (Ley 5379 ya citada), destinaba el 3% de los recursos que se participaban a los municipios a un fondo que era administrado por un órgano colegiado compuesto por intendentes municpales y funcionarios provinciales. Los aportes a municipios podían ser reintegrables o no según la naturaleza de la emergencia. </w:t>
      </w:r>
    </w:p>
    <w:p w14:paraId="0E21263D" w14:textId="31D312A2" w:rsidR="007148A6" w:rsidRDefault="007148A6">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104A8" w14:textId="77777777" w:rsidR="007148A6" w:rsidRDefault="007148A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98F8C" w14:textId="77777777" w:rsidR="007148A6" w:rsidRDefault="007148A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A6633" w14:textId="77777777" w:rsidR="007148A6" w:rsidRDefault="007148A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A0046"/>
    <w:multiLevelType w:val="hybridMultilevel"/>
    <w:tmpl w:val="CD98F0C8"/>
    <w:lvl w:ilvl="0" w:tplc="523ADFD6">
      <w:start w:val="3"/>
      <w:numFmt w:val="bullet"/>
      <w:lvlText w:val=""/>
      <w:lvlJc w:val="left"/>
      <w:pPr>
        <w:ind w:left="720" w:hanging="360"/>
      </w:pPr>
      <w:rPr>
        <w:rFonts w:ascii="Symbol" w:eastAsiaTheme="minorHAns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CA417E0"/>
    <w:multiLevelType w:val="hybridMultilevel"/>
    <w:tmpl w:val="6830672E"/>
    <w:lvl w:ilvl="0" w:tplc="BECE95DE">
      <w:start w:val="45"/>
      <w:numFmt w:val="decimal"/>
      <w:lvlText w:val="%1."/>
      <w:lvlJc w:val="left"/>
      <w:pPr>
        <w:ind w:left="720" w:hanging="360"/>
      </w:pPr>
      <w:rPr>
        <w:rFonts w:hint="default"/>
        <w:sz w:val="20"/>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6F6238D"/>
    <w:multiLevelType w:val="hybridMultilevel"/>
    <w:tmpl w:val="A9A6D83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B3509C0"/>
    <w:multiLevelType w:val="hybridMultilevel"/>
    <w:tmpl w:val="4E3CACC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0196675"/>
    <w:multiLevelType w:val="hybridMultilevel"/>
    <w:tmpl w:val="690C8AD4"/>
    <w:lvl w:ilvl="0" w:tplc="C58E556C">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FB8314D"/>
    <w:multiLevelType w:val="hybridMultilevel"/>
    <w:tmpl w:val="4E3CACC2"/>
    <w:lvl w:ilvl="0" w:tplc="2C0A000F">
      <w:start w:val="1"/>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6" w15:restartNumberingAfterBreak="0">
    <w:nsid w:val="6D580F96"/>
    <w:multiLevelType w:val="hybridMultilevel"/>
    <w:tmpl w:val="CC58CC28"/>
    <w:lvl w:ilvl="0" w:tplc="CBE6F116">
      <w:start w:val="1"/>
      <w:numFmt w:val="decimal"/>
      <w:lvlText w:val="%1)"/>
      <w:lvlJc w:val="left"/>
      <w:pPr>
        <w:ind w:left="786" w:hanging="360"/>
      </w:pPr>
      <w:rPr>
        <w:rFonts w:ascii="Arial" w:hAnsi="Arial" w:cs="Arial" w:hint="default"/>
        <w:b/>
      </w:rPr>
    </w:lvl>
    <w:lvl w:ilvl="1" w:tplc="2C0A0019">
      <w:start w:val="1"/>
      <w:numFmt w:val="lowerLetter"/>
      <w:lvlText w:val="%2."/>
      <w:lvlJc w:val="left"/>
      <w:pPr>
        <w:ind w:left="1648" w:hanging="360"/>
      </w:pPr>
    </w:lvl>
    <w:lvl w:ilvl="2" w:tplc="2C0A001B" w:tentative="1">
      <w:start w:val="1"/>
      <w:numFmt w:val="lowerRoman"/>
      <w:lvlText w:val="%3."/>
      <w:lvlJc w:val="right"/>
      <w:pPr>
        <w:ind w:left="2368" w:hanging="180"/>
      </w:pPr>
    </w:lvl>
    <w:lvl w:ilvl="3" w:tplc="2C0A000F" w:tentative="1">
      <w:start w:val="1"/>
      <w:numFmt w:val="decimal"/>
      <w:lvlText w:val="%4."/>
      <w:lvlJc w:val="left"/>
      <w:pPr>
        <w:ind w:left="3088" w:hanging="360"/>
      </w:pPr>
    </w:lvl>
    <w:lvl w:ilvl="4" w:tplc="2C0A0019" w:tentative="1">
      <w:start w:val="1"/>
      <w:numFmt w:val="lowerLetter"/>
      <w:lvlText w:val="%5."/>
      <w:lvlJc w:val="left"/>
      <w:pPr>
        <w:ind w:left="3808" w:hanging="360"/>
      </w:pPr>
    </w:lvl>
    <w:lvl w:ilvl="5" w:tplc="2C0A001B" w:tentative="1">
      <w:start w:val="1"/>
      <w:numFmt w:val="lowerRoman"/>
      <w:lvlText w:val="%6."/>
      <w:lvlJc w:val="right"/>
      <w:pPr>
        <w:ind w:left="4528" w:hanging="180"/>
      </w:pPr>
    </w:lvl>
    <w:lvl w:ilvl="6" w:tplc="2C0A000F" w:tentative="1">
      <w:start w:val="1"/>
      <w:numFmt w:val="decimal"/>
      <w:lvlText w:val="%7."/>
      <w:lvlJc w:val="left"/>
      <w:pPr>
        <w:ind w:left="5248" w:hanging="360"/>
      </w:pPr>
    </w:lvl>
    <w:lvl w:ilvl="7" w:tplc="2C0A0019" w:tentative="1">
      <w:start w:val="1"/>
      <w:numFmt w:val="lowerLetter"/>
      <w:lvlText w:val="%8."/>
      <w:lvlJc w:val="left"/>
      <w:pPr>
        <w:ind w:left="5968" w:hanging="360"/>
      </w:pPr>
    </w:lvl>
    <w:lvl w:ilvl="8" w:tplc="2C0A001B" w:tentative="1">
      <w:start w:val="1"/>
      <w:numFmt w:val="lowerRoman"/>
      <w:lvlText w:val="%9."/>
      <w:lvlJc w:val="right"/>
      <w:pPr>
        <w:ind w:left="6688" w:hanging="180"/>
      </w:pPr>
    </w:lvl>
  </w:abstractNum>
  <w:num w:numId="1">
    <w:abstractNumId w:val="3"/>
  </w:num>
  <w:num w:numId="2">
    <w:abstractNumId w:val="6"/>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A1B"/>
    <w:rsid w:val="000000A7"/>
    <w:rsid w:val="000129E1"/>
    <w:rsid w:val="00014C40"/>
    <w:rsid w:val="000212D6"/>
    <w:rsid w:val="00026A1B"/>
    <w:rsid w:val="0002745A"/>
    <w:rsid w:val="000317F3"/>
    <w:rsid w:val="00031C38"/>
    <w:rsid w:val="00035ABD"/>
    <w:rsid w:val="00042333"/>
    <w:rsid w:val="000444F9"/>
    <w:rsid w:val="000446D7"/>
    <w:rsid w:val="00044D87"/>
    <w:rsid w:val="000458D4"/>
    <w:rsid w:val="0005322C"/>
    <w:rsid w:val="000538FC"/>
    <w:rsid w:val="00053B02"/>
    <w:rsid w:val="00061C4F"/>
    <w:rsid w:val="00062BB5"/>
    <w:rsid w:val="00062BD0"/>
    <w:rsid w:val="0006636B"/>
    <w:rsid w:val="00071793"/>
    <w:rsid w:val="0007476E"/>
    <w:rsid w:val="00074CCE"/>
    <w:rsid w:val="000773AD"/>
    <w:rsid w:val="00084665"/>
    <w:rsid w:val="000863B0"/>
    <w:rsid w:val="0009043D"/>
    <w:rsid w:val="00093B67"/>
    <w:rsid w:val="00093C44"/>
    <w:rsid w:val="000945F4"/>
    <w:rsid w:val="00094D96"/>
    <w:rsid w:val="00095BDC"/>
    <w:rsid w:val="000A07B3"/>
    <w:rsid w:val="000B4DC4"/>
    <w:rsid w:val="000C5331"/>
    <w:rsid w:val="000D0DB2"/>
    <w:rsid w:val="000D0ED3"/>
    <w:rsid w:val="000D181D"/>
    <w:rsid w:val="000D2E47"/>
    <w:rsid w:val="000D3B47"/>
    <w:rsid w:val="000D3E4A"/>
    <w:rsid w:val="000E01DC"/>
    <w:rsid w:val="000E51B9"/>
    <w:rsid w:val="000E638E"/>
    <w:rsid w:val="000E6A27"/>
    <w:rsid w:val="000E78A6"/>
    <w:rsid w:val="000F1D0A"/>
    <w:rsid w:val="000F5421"/>
    <w:rsid w:val="001031F3"/>
    <w:rsid w:val="001075A2"/>
    <w:rsid w:val="001161A6"/>
    <w:rsid w:val="0012070E"/>
    <w:rsid w:val="0012596B"/>
    <w:rsid w:val="001267FD"/>
    <w:rsid w:val="00127E75"/>
    <w:rsid w:val="0013085D"/>
    <w:rsid w:val="00140D56"/>
    <w:rsid w:val="00150E69"/>
    <w:rsid w:val="00151B0F"/>
    <w:rsid w:val="00154270"/>
    <w:rsid w:val="00156AF8"/>
    <w:rsid w:val="0016522D"/>
    <w:rsid w:val="001679E0"/>
    <w:rsid w:val="00167C2C"/>
    <w:rsid w:val="00171372"/>
    <w:rsid w:val="00177FCC"/>
    <w:rsid w:val="00180ECE"/>
    <w:rsid w:val="00181A58"/>
    <w:rsid w:val="00183111"/>
    <w:rsid w:val="0018522D"/>
    <w:rsid w:val="00191F7B"/>
    <w:rsid w:val="00192BD1"/>
    <w:rsid w:val="001A08B9"/>
    <w:rsid w:val="001A4E16"/>
    <w:rsid w:val="001A5FF6"/>
    <w:rsid w:val="001A7730"/>
    <w:rsid w:val="001B3F08"/>
    <w:rsid w:val="001B4BBA"/>
    <w:rsid w:val="001B6971"/>
    <w:rsid w:val="001B7D9E"/>
    <w:rsid w:val="001C1DE8"/>
    <w:rsid w:val="001C2DF8"/>
    <w:rsid w:val="001D01CA"/>
    <w:rsid w:val="001D0C1E"/>
    <w:rsid w:val="001D13C9"/>
    <w:rsid w:val="001D42ED"/>
    <w:rsid w:val="001D4B51"/>
    <w:rsid w:val="001D56BD"/>
    <w:rsid w:val="001D5F72"/>
    <w:rsid w:val="001E0367"/>
    <w:rsid w:val="001E561E"/>
    <w:rsid w:val="001F0FA4"/>
    <w:rsid w:val="001F3D41"/>
    <w:rsid w:val="001F4980"/>
    <w:rsid w:val="00200304"/>
    <w:rsid w:val="00200E52"/>
    <w:rsid w:val="0020747F"/>
    <w:rsid w:val="002111EC"/>
    <w:rsid w:val="0021283C"/>
    <w:rsid w:val="00212AF5"/>
    <w:rsid w:val="0021354F"/>
    <w:rsid w:val="00213CD9"/>
    <w:rsid w:val="002151B1"/>
    <w:rsid w:val="002156E6"/>
    <w:rsid w:val="00215A1B"/>
    <w:rsid w:val="0022641A"/>
    <w:rsid w:val="00226888"/>
    <w:rsid w:val="00232671"/>
    <w:rsid w:val="0023363C"/>
    <w:rsid w:val="00233ECB"/>
    <w:rsid w:val="00234E42"/>
    <w:rsid w:val="00242FA4"/>
    <w:rsid w:val="002459BE"/>
    <w:rsid w:val="00252932"/>
    <w:rsid w:val="00255F72"/>
    <w:rsid w:val="002607B8"/>
    <w:rsid w:val="002639A0"/>
    <w:rsid w:val="00263BD1"/>
    <w:rsid w:val="00265064"/>
    <w:rsid w:val="002656B6"/>
    <w:rsid w:val="00267003"/>
    <w:rsid w:val="0026700B"/>
    <w:rsid w:val="00275B99"/>
    <w:rsid w:val="002801F5"/>
    <w:rsid w:val="00280B03"/>
    <w:rsid w:val="00286537"/>
    <w:rsid w:val="00286D63"/>
    <w:rsid w:val="00290087"/>
    <w:rsid w:val="002A6BB0"/>
    <w:rsid w:val="002B02D8"/>
    <w:rsid w:val="002B0A47"/>
    <w:rsid w:val="002B3A8B"/>
    <w:rsid w:val="002B3C86"/>
    <w:rsid w:val="002B4347"/>
    <w:rsid w:val="002B5ED4"/>
    <w:rsid w:val="002B7AD6"/>
    <w:rsid w:val="002C06A9"/>
    <w:rsid w:val="002C114B"/>
    <w:rsid w:val="002C2F8C"/>
    <w:rsid w:val="002C3305"/>
    <w:rsid w:val="002C4277"/>
    <w:rsid w:val="002C5195"/>
    <w:rsid w:val="002C5839"/>
    <w:rsid w:val="002D01F7"/>
    <w:rsid w:val="002E3C04"/>
    <w:rsid w:val="002F4CDF"/>
    <w:rsid w:val="003100C5"/>
    <w:rsid w:val="0031127D"/>
    <w:rsid w:val="00320BF3"/>
    <w:rsid w:val="003217CF"/>
    <w:rsid w:val="003225CC"/>
    <w:rsid w:val="00324D10"/>
    <w:rsid w:val="00325971"/>
    <w:rsid w:val="00330F95"/>
    <w:rsid w:val="00331647"/>
    <w:rsid w:val="00332F35"/>
    <w:rsid w:val="00333682"/>
    <w:rsid w:val="00341B13"/>
    <w:rsid w:val="00342B8B"/>
    <w:rsid w:val="0034604A"/>
    <w:rsid w:val="003461AB"/>
    <w:rsid w:val="00350EEB"/>
    <w:rsid w:val="003544F3"/>
    <w:rsid w:val="00357F23"/>
    <w:rsid w:val="00362534"/>
    <w:rsid w:val="0037009E"/>
    <w:rsid w:val="00372043"/>
    <w:rsid w:val="0037400D"/>
    <w:rsid w:val="00375826"/>
    <w:rsid w:val="0038367A"/>
    <w:rsid w:val="0038458A"/>
    <w:rsid w:val="0038591E"/>
    <w:rsid w:val="00386B35"/>
    <w:rsid w:val="003905EF"/>
    <w:rsid w:val="003928A7"/>
    <w:rsid w:val="00395204"/>
    <w:rsid w:val="00395C8C"/>
    <w:rsid w:val="003A064B"/>
    <w:rsid w:val="003A1008"/>
    <w:rsid w:val="003A1D49"/>
    <w:rsid w:val="003A2303"/>
    <w:rsid w:val="003A43AD"/>
    <w:rsid w:val="003B1193"/>
    <w:rsid w:val="003B7303"/>
    <w:rsid w:val="003B7461"/>
    <w:rsid w:val="003C1B79"/>
    <w:rsid w:val="003C28A1"/>
    <w:rsid w:val="003C52AC"/>
    <w:rsid w:val="003D3CE4"/>
    <w:rsid w:val="003E149F"/>
    <w:rsid w:val="003E19C9"/>
    <w:rsid w:val="003E2FF9"/>
    <w:rsid w:val="003E4001"/>
    <w:rsid w:val="003E47E2"/>
    <w:rsid w:val="003F0933"/>
    <w:rsid w:val="0040276E"/>
    <w:rsid w:val="00407280"/>
    <w:rsid w:val="00412321"/>
    <w:rsid w:val="0041385B"/>
    <w:rsid w:val="004138D3"/>
    <w:rsid w:val="00414E96"/>
    <w:rsid w:val="00415587"/>
    <w:rsid w:val="004241C2"/>
    <w:rsid w:val="004249A9"/>
    <w:rsid w:val="00431B99"/>
    <w:rsid w:val="00440DDF"/>
    <w:rsid w:val="00441D22"/>
    <w:rsid w:val="00442E44"/>
    <w:rsid w:val="00444BEB"/>
    <w:rsid w:val="004476AA"/>
    <w:rsid w:val="00447C32"/>
    <w:rsid w:val="004545E2"/>
    <w:rsid w:val="004564BA"/>
    <w:rsid w:val="00465FBF"/>
    <w:rsid w:val="0046681F"/>
    <w:rsid w:val="0046748F"/>
    <w:rsid w:val="00474288"/>
    <w:rsid w:val="0047651B"/>
    <w:rsid w:val="004765BC"/>
    <w:rsid w:val="004837F0"/>
    <w:rsid w:val="00483CB2"/>
    <w:rsid w:val="004860F2"/>
    <w:rsid w:val="00487341"/>
    <w:rsid w:val="00493329"/>
    <w:rsid w:val="00493577"/>
    <w:rsid w:val="004954D0"/>
    <w:rsid w:val="004957A0"/>
    <w:rsid w:val="00497710"/>
    <w:rsid w:val="004A09B8"/>
    <w:rsid w:val="004A09C7"/>
    <w:rsid w:val="004A2D72"/>
    <w:rsid w:val="004A394D"/>
    <w:rsid w:val="004A3A0A"/>
    <w:rsid w:val="004A48CC"/>
    <w:rsid w:val="004A499B"/>
    <w:rsid w:val="004A5197"/>
    <w:rsid w:val="004B0FFA"/>
    <w:rsid w:val="004B21F1"/>
    <w:rsid w:val="004B2200"/>
    <w:rsid w:val="004B2555"/>
    <w:rsid w:val="004B573C"/>
    <w:rsid w:val="004B6FCB"/>
    <w:rsid w:val="004C2427"/>
    <w:rsid w:val="004C3A6B"/>
    <w:rsid w:val="004C4635"/>
    <w:rsid w:val="004C467F"/>
    <w:rsid w:val="004D48D6"/>
    <w:rsid w:val="004D596E"/>
    <w:rsid w:val="004E5292"/>
    <w:rsid w:val="004F1B81"/>
    <w:rsid w:val="004F1E41"/>
    <w:rsid w:val="00501EF9"/>
    <w:rsid w:val="00503CA0"/>
    <w:rsid w:val="0050785F"/>
    <w:rsid w:val="00511B55"/>
    <w:rsid w:val="005143D8"/>
    <w:rsid w:val="00515A2E"/>
    <w:rsid w:val="00515B37"/>
    <w:rsid w:val="005213BB"/>
    <w:rsid w:val="00523E22"/>
    <w:rsid w:val="005304FD"/>
    <w:rsid w:val="0053351D"/>
    <w:rsid w:val="00533C96"/>
    <w:rsid w:val="00534487"/>
    <w:rsid w:val="00535234"/>
    <w:rsid w:val="00540CD9"/>
    <w:rsid w:val="005412B4"/>
    <w:rsid w:val="0054374A"/>
    <w:rsid w:val="00544323"/>
    <w:rsid w:val="0054689D"/>
    <w:rsid w:val="00550E87"/>
    <w:rsid w:val="005611CD"/>
    <w:rsid w:val="005612FD"/>
    <w:rsid w:val="005632B9"/>
    <w:rsid w:val="00563356"/>
    <w:rsid w:val="005643C6"/>
    <w:rsid w:val="00565431"/>
    <w:rsid w:val="00571479"/>
    <w:rsid w:val="00571F80"/>
    <w:rsid w:val="00571FF4"/>
    <w:rsid w:val="00573E19"/>
    <w:rsid w:val="00576A4D"/>
    <w:rsid w:val="00582043"/>
    <w:rsid w:val="00582947"/>
    <w:rsid w:val="00587FF0"/>
    <w:rsid w:val="00590637"/>
    <w:rsid w:val="005944D0"/>
    <w:rsid w:val="00596C1A"/>
    <w:rsid w:val="005A0251"/>
    <w:rsid w:val="005A24C1"/>
    <w:rsid w:val="005A6003"/>
    <w:rsid w:val="005A6744"/>
    <w:rsid w:val="005B3786"/>
    <w:rsid w:val="005B6190"/>
    <w:rsid w:val="005B7A23"/>
    <w:rsid w:val="005B7DDD"/>
    <w:rsid w:val="005C0941"/>
    <w:rsid w:val="005C3812"/>
    <w:rsid w:val="005C3BDE"/>
    <w:rsid w:val="005D2516"/>
    <w:rsid w:val="005E08AA"/>
    <w:rsid w:val="005E2A36"/>
    <w:rsid w:val="005E4B6D"/>
    <w:rsid w:val="005E62BA"/>
    <w:rsid w:val="005F01DA"/>
    <w:rsid w:val="005F0498"/>
    <w:rsid w:val="005F479F"/>
    <w:rsid w:val="005F5DC7"/>
    <w:rsid w:val="006060CB"/>
    <w:rsid w:val="00606991"/>
    <w:rsid w:val="00607355"/>
    <w:rsid w:val="00610581"/>
    <w:rsid w:val="006109CB"/>
    <w:rsid w:val="00611A5A"/>
    <w:rsid w:val="006150ED"/>
    <w:rsid w:val="00616269"/>
    <w:rsid w:val="0061659F"/>
    <w:rsid w:val="006207DB"/>
    <w:rsid w:val="006234AE"/>
    <w:rsid w:val="00623B3B"/>
    <w:rsid w:val="00625F4E"/>
    <w:rsid w:val="006308C9"/>
    <w:rsid w:val="006367CF"/>
    <w:rsid w:val="00642D10"/>
    <w:rsid w:val="00644418"/>
    <w:rsid w:val="00647567"/>
    <w:rsid w:val="00653651"/>
    <w:rsid w:val="006554B0"/>
    <w:rsid w:val="00671669"/>
    <w:rsid w:val="00671C3C"/>
    <w:rsid w:val="006724CB"/>
    <w:rsid w:val="00674137"/>
    <w:rsid w:val="006800E8"/>
    <w:rsid w:val="0068555F"/>
    <w:rsid w:val="006868F1"/>
    <w:rsid w:val="00686BC3"/>
    <w:rsid w:val="00687072"/>
    <w:rsid w:val="006A0B3D"/>
    <w:rsid w:val="006A3360"/>
    <w:rsid w:val="006A55FD"/>
    <w:rsid w:val="006A5C3C"/>
    <w:rsid w:val="006A610A"/>
    <w:rsid w:val="006B0596"/>
    <w:rsid w:val="006B772B"/>
    <w:rsid w:val="006C1B57"/>
    <w:rsid w:val="006C4434"/>
    <w:rsid w:val="006C4A3C"/>
    <w:rsid w:val="006D1DD7"/>
    <w:rsid w:val="006D2336"/>
    <w:rsid w:val="006D37BF"/>
    <w:rsid w:val="006D74DE"/>
    <w:rsid w:val="006E0B01"/>
    <w:rsid w:val="006E0BA9"/>
    <w:rsid w:val="006E4612"/>
    <w:rsid w:val="006F03E9"/>
    <w:rsid w:val="006F67BF"/>
    <w:rsid w:val="006F7489"/>
    <w:rsid w:val="00700998"/>
    <w:rsid w:val="00700C03"/>
    <w:rsid w:val="007039F7"/>
    <w:rsid w:val="0071126E"/>
    <w:rsid w:val="00712694"/>
    <w:rsid w:val="007131DB"/>
    <w:rsid w:val="00713E60"/>
    <w:rsid w:val="007148A6"/>
    <w:rsid w:val="00721A81"/>
    <w:rsid w:val="007268A6"/>
    <w:rsid w:val="007306F1"/>
    <w:rsid w:val="00730BD0"/>
    <w:rsid w:val="0073127E"/>
    <w:rsid w:val="007332CF"/>
    <w:rsid w:val="00734B9B"/>
    <w:rsid w:val="007359CD"/>
    <w:rsid w:val="00736DF5"/>
    <w:rsid w:val="00746705"/>
    <w:rsid w:val="007512EE"/>
    <w:rsid w:val="007732F8"/>
    <w:rsid w:val="007765A2"/>
    <w:rsid w:val="007827DE"/>
    <w:rsid w:val="00783974"/>
    <w:rsid w:val="00783C18"/>
    <w:rsid w:val="00785B58"/>
    <w:rsid w:val="007937D5"/>
    <w:rsid w:val="00796592"/>
    <w:rsid w:val="007A0AF6"/>
    <w:rsid w:val="007A203E"/>
    <w:rsid w:val="007A24D8"/>
    <w:rsid w:val="007A31C7"/>
    <w:rsid w:val="007A699F"/>
    <w:rsid w:val="007B05FE"/>
    <w:rsid w:val="007C355A"/>
    <w:rsid w:val="007C41AD"/>
    <w:rsid w:val="007D16DD"/>
    <w:rsid w:val="007D58F8"/>
    <w:rsid w:val="007E54EC"/>
    <w:rsid w:val="007E58E1"/>
    <w:rsid w:val="007F12E8"/>
    <w:rsid w:val="007F3AED"/>
    <w:rsid w:val="007F63D2"/>
    <w:rsid w:val="008018B2"/>
    <w:rsid w:val="008065DC"/>
    <w:rsid w:val="008101D8"/>
    <w:rsid w:val="00811D28"/>
    <w:rsid w:val="00815F33"/>
    <w:rsid w:val="00816353"/>
    <w:rsid w:val="00820B23"/>
    <w:rsid w:val="00820B42"/>
    <w:rsid w:val="00826B18"/>
    <w:rsid w:val="00837586"/>
    <w:rsid w:val="008418C1"/>
    <w:rsid w:val="00843387"/>
    <w:rsid w:val="00844DCD"/>
    <w:rsid w:val="008537AC"/>
    <w:rsid w:val="0085795E"/>
    <w:rsid w:val="00862378"/>
    <w:rsid w:val="00862685"/>
    <w:rsid w:val="00862A9B"/>
    <w:rsid w:val="00863F3F"/>
    <w:rsid w:val="008646E5"/>
    <w:rsid w:val="008649BD"/>
    <w:rsid w:val="00867EF9"/>
    <w:rsid w:val="00873A6B"/>
    <w:rsid w:val="00874DFD"/>
    <w:rsid w:val="008805DA"/>
    <w:rsid w:val="00880B6F"/>
    <w:rsid w:val="008817D0"/>
    <w:rsid w:val="008824A9"/>
    <w:rsid w:val="0089046F"/>
    <w:rsid w:val="00892723"/>
    <w:rsid w:val="00893AB6"/>
    <w:rsid w:val="008A29E7"/>
    <w:rsid w:val="008A2C6E"/>
    <w:rsid w:val="008A535A"/>
    <w:rsid w:val="008A731D"/>
    <w:rsid w:val="008B4283"/>
    <w:rsid w:val="008B4545"/>
    <w:rsid w:val="008B5124"/>
    <w:rsid w:val="008B66F8"/>
    <w:rsid w:val="008C47B1"/>
    <w:rsid w:val="008C6997"/>
    <w:rsid w:val="008D29D4"/>
    <w:rsid w:val="008E30E0"/>
    <w:rsid w:val="008E6053"/>
    <w:rsid w:val="008F2125"/>
    <w:rsid w:val="008F2508"/>
    <w:rsid w:val="008F32C6"/>
    <w:rsid w:val="008F4028"/>
    <w:rsid w:val="008F68F1"/>
    <w:rsid w:val="0090428C"/>
    <w:rsid w:val="0091242E"/>
    <w:rsid w:val="009176BF"/>
    <w:rsid w:val="00923308"/>
    <w:rsid w:val="0092593C"/>
    <w:rsid w:val="00925C0E"/>
    <w:rsid w:val="00926B73"/>
    <w:rsid w:val="00930F02"/>
    <w:rsid w:val="009372BD"/>
    <w:rsid w:val="009374F6"/>
    <w:rsid w:val="0093764D"/>
    <w:rsid w:val="009402C2"/>
    <w:rsid w:val="00940589"/>
    <w:rsid w:val="009411EF"/>
    <w:rsid w:val="0094571B"/>
    <w:rsid w:val="00955F22"/>
    <w:rsid w:val="00960E84"/>
    <w:rsid w:val="009639EB"/>
    <w:rsid w:val="009755D2"/>
    <w:rsid w:val="00975EC1"/>
    <w:rsid w:val="009761B6"/>
    <w:rsid w:val="009824D2"/>
    <w:rsid w:val="00983662"/>
    <w:rsid w:val="00983D82"/>
    <w:rsid w:val="009848B6"/>
    <w:rsid w:val="00985B6A"/>
    <w:rsid w:val="00985CCC"/>
    <w:rsid w:val="009933BF"/>
    <w:rsid w:val="00995FE8"/>
    <w:rsid w:val="009A4304"/>
    <w:rsid w:val="009A79D9"/>
    <w:rsid w:val="009B00B1"/>
    <w:rsid w:val="009B0E50"/>
    <w:rsid w:val="009B7242"/>
    <w:rsid w:val="009B730D"/>
    <w:rsid w:val="009C668A"/>
    <w:rsid w:val="009C68BA"/>
    <w:rsid w:val="009C6C5F"/>
    <w:rsid w:val="009C74B9"/>
    <w:rsid w:val="009C7855"/>
    <w:rsid w:val="009C796D"/>
    <w:rsid w:val="009D1135"/>
    <w:rsid w:val="009D1B0D"/>
    <w:rsid w:val="009D1F80"/>
    <w:rsid w:val="009D2A8A"/>
    <w:rsid w:val="009D4ECD"/>
    <w:rsid w:val="009D4F64"/>
    <w:rsid w:val="009F11EC"/>
    <w:rsid w:val="009F3FE3"/>
    <w:rsid w:val="00A00BDC"/>
    <w:rsid w:val="00A00D91"/>
    <w:rsid w:val="00A0294A"/>
    <w:rsid w:val="00A0677B"/>
    <w:rsid w:val="00A1191E"/>
    <w:rsid w:val="00A1568B"/>
    <w:rsid w:val="00A15725"/>
    <w:rsid w:val="00A1652A"/>
    <w:rsid w:val="00A23866"/>
    <w:rsid w:val="00A2488A"/>
    <w:rsid w:val="00A300B3"/>
    <w:rsid w:val="00A310F8"/>
    <w:rsid w:val="00A410A4"/>
    <w:rsid w:val="00A432DC"/>
    <w:rsid w:val="00A43B2A"/>
    <w:rsid w:val="00A47315"/>
    <w:rsid w:val="00A47481"/>
    <w:rsid w:val="00A52D05"/>
    <w:rsid w:val="00A56080"/>
    <w:rsid w:val="00A56F74"/>
    <w:rsid w:val="00A61333"/>
    <w:rsid w:val="00A632A8"/>
    <w:rsid w:val="00A76782"/>
    <w:rsid w:val="00A776EE"/>
    <w:rsid w:val="00A77B0A"/>
    <w:rsid w:val="00A82734"/>
    <w:rsid w:val="00A831D1"/>
    <w:rsid w:val="00A86D11"/>
    <w:rsid w:val="00A87395"/>
    <w:rsid w:val="00A900BD"/>
    <w:rsid w:val="00A90496"/>
    <w:rsid w:val="00A950B8"/>
    <w:rsid w:val="00A967BE"/>
    <w:rsid w:val="00AA10E8"/>
    <w:rsid w:val="00AA2A6F"/>
    <w:rsid w:val="00AA3AE9"/>
    <w:rsid w:val="00AA423D"/>
    <w:rsid w:val="00AA4E16"/>
    <w:rsid w:val="00AA618D"/>
    <w:rsid w:val="00AA7C3A"/>
    <w:rsid w:val="00AB13F7"/>
    <w:rsid w:val="00AB265E"/>
    <w:rsid w:val="00AB594C"/>
    <w:rsid w:val="00AB772A"/>
    <w:rsid w:val="00AC0339"/>
    <w:rsid w:val="00AD6516"/>
    <w:rsid w:val="00AD7C8A"/>
    <w:rsid w:val="00AE04C9"/>
    <w:rsid w:val="00AE2C47"/>
    <w:rsid w:val="00AE38FA"/>
    <w:rsid w:val="00AE49B0"/>
    <w:rsid w:val="00AE682F"/>
    <w:rsid w:val="00AF1E24"/>
    <w:rsid w:val="00AF273A"/>
    <w:rsid w:val="00AF585F"/>
    <w:rsid w:val="00AF74DE"/>
    <w:rsid w:val="00B02A29"/>
    <w:rsid w:val="00B03CB7"/>
    <w:rsid w:val="00B04F2D"/>
    <w:rsid w:val="00B05DDE"/>
    <w:rsid w:val="00B0602A"/>
    <w:rsid w:val="00B10163"/>
    <w:rsid w:val="00B15674"/>
    <w:rsid w:val="00B177A7"/>
    <w:rsid w:val="00B20868"/>
    <w:rsid w:val="00B211BC"/>
    <w:rsid w:val="00B21B4C"/>
    <w:rsid w:val="00B26E91"/>
    <w:rsid w:val="00B3284E"/>
    <w:rsid w:val="00B330CC"/>
    <w:rsid w:val="00B424ED"/>
    <w:rsid w:val="00B46DDE"/>
    <w:rsid w:val="00B4706B"/>
    <w:rsid w:val="00B50F6F"/>
    <w:rsid w:val="00B52146"/>
    <w:rsid w:val="00B576B0"/>
    <w:rsid w:val="00B6307E"/>
    <w:rsid w:val="00B63623"/>
    <w:rsid w:val="00B654B6"/>
    <w:rsid w:val="00B6658A"/>
    <w:rsid w:val="00B66C61"/>
    <w:rsid w:val="00B6713C"/>
    <w:rsid w:val="00B73CB2"/>
    <w:rsid w:val="00B8198D"/>
    <w:rsid w:val="00B834E2"/>
    <w:rsid w:val="00B8450A"/>
    <w:rsid w:val="00B862ED"/>
    <w:rsid w:val="00B87859"/>
    <w:rsid w:val="00B92E54"/>
    <w:rsid w:val="00B944F9"/>
    <w:rsid w:val="00BA11C2"/>
    <w:rsid w:val="00BB414B"/>
    <w:rsid w:val="00BB7162"/>
    <w:rsid w:val="00BB7343"/>
    <w:rsid w:val="00BC286D"/>
    <w:rsid w:val="00BC2D28"/>
    <w:rsid w:val="00BC3B18"/>
    <w:rsid w:val="00BC6060"/>
    <w:rsid w:val="00BC7A3E"/>
    <w:rsid w:val="00BD1212"/>
    <w:rsid w:val="00BD1255"/>
    <w:rsid w:val="00BE29A4"/>
    <w:rsid w:val="00BE4328"/>
    <w:rsid w:val="00BF3BB7"/>
    <w:rsid w:val="00BF54B4"/>
    <w:rsid w:val="00C0208B"/>
    <w:rsid w:val="00C02665"/>
    <w:rsid w:val="00C06DF9"/>
    <w:rsid w:val="00C102F8"/>
    <w:rsid w:val="00C1226E"/>
    <w:rsid w:val="00C140E5"/>
    <w:rsid w:val="00C22C0F"/>
    <w:rsid w:val="00C26814"/>
    <w:rsid w:val="00C273C5"/>
    <w:rsid w:val="00C27C83"/>
    <w:rsid w:val="00C328DF"/>
    <w:rsid w:val="00C34014"/>
    <w:rsid w:val="00C355C9"/>
    <w:rsid w:val="00C356EA"/>
    <w:rsid w:val="00C37AA8"/>
    <w:rsid w:val="00C46EA9"/>
    <w:rsid w:val="00C5103B"/>
    <w:rsid w:val="00C536DC"/>
    <w:rsid w:val="00C60F5D"/>
    <w:rsid w:val="00C646E2"/>
    <w:rsid w:val="00C66D6D"/>
    <w:rsid w:val="00C6779B"/>
    <w:rsid w:val="00C707E6"/>
    <w:rsid w:val="00C75DAF"/>
    <w:rsid w:val="00C804D1"/>
    <w:rsid w:val="00C81F4A"/>
    <w:rsid w:val="00C8610A"/>
    <w:rsid w:val="00C9051A"/>
    <w:rsid w:val="00C91ED2"/>
    <w:rsid w:val="00C9360D"/>
    <w:rsid w:val="00C9374C"/>
    <w:rsid w:val="00C93C87"/>
    <w:rsid w:val="00C9518D"/>
    <w:rsid w:val="00CA05AC"/>
    <w:rsid w:val="00CA50BC"/>
    <w:rsid w:val="00CA5D31"/>
    <w:rsid w:val="00CB3005"/>
    <w:rsid w:val="00CB3A76"/>
    <w:rsid w:val="00CC622D"/>
    <w:rsid w:val="00CC736D"/>
    <w:rsid w:val="00CD45D8"/>
    <w:rsid w:val="00CD76A2"/>
    <w:rsid w:val="00CE4979"/>
    <w:rsid w:val="00CE6DA3"/>
    <w:rsid w:val="00CF649B"/>
    <w:rsid w:val="00CF6C0B"/>
    <w:rsid w:val="00D02A64"/>
    <w:rsid w:val="00D0393F"/>
    <w:rsid w:val="00D06857"/>
    <w:rsid w:val="00D149CC"/>
    <w:rsid w:val="00D15376"/>
    <w:rsid w:val="00D20FFC"/>
    <w:rsid w:val="00D222B2"/>
    <w:rsid w:val="00D25029"/>
    <w:rsid w:val="00D340D0"/>
    <w:rsid w:val="00D34D5A"/>
    <w:rsid w:val="00D41FFF"/>
    <w:rsid w:val="00D425B9"/>
    <w:rsid w:val="00D433CE"/>
    <w:rsid w:val="00D44460"/>
    <w:rsid w:val="00D467BD"/>
    <w:rsid w:val="00D606E1"/>
    <w:rsid w:val="00D61E7A"/>
    <w:rsid w:val="00D6391C"/>
    <w:rsid w:val="00D7394E"/>
    <w:rsid w:val="00D7420C"/>
    <w:rsid w:val="00D75A14"/>
    <w:rsid w:val="00D76250"/>
    <w:rsid w:val="00D800DB"/>
    <w:rsid w:val="00D859EE"/>
    <w:rsid w:val="00D96914"/>
    <w:rsid w:val="00D974A7"/>
    <w:rsid w:val="00DA1964"/>
    <w:rsid w:val="00DB0954"/>
    <w:rsid w:val="00DB1C08"/>
    <w:rsid w:val="00DB2339"/>
    <w:rsid w:val="00DB2580"/>
    <w:rsid w:val="00DB3CEB"/>
    <w:rsid w:val="00DB4327"/>
    <w:rsid w:val="00DB4DE8"/>
    <w:rsid w:val="00DB4F7D"/>
    <w:rsid w:val="00DB7AB9"/>
    <w:rsid w:val="00DC5A09"/>
    <w:rsid w:val="00DD33C1"/>
    <w:rsid w:val="00DD58E7"/>
    <w:rsid w:val="00DD6D5F"/>
    <w:rsid w:val="00DE3108"/>
    <w:rsid w:val="00DE36F1"/>
    <w:rsid w:val="00DE6758"/>
    <w:rsid w:val="00DE7CC2"/>
    <w:rsid w:val="00DF77F8"/>
    <w:rsid w:val="00E07719"/>
    <w:rsid w:val="00E105C4"/>
    <w:rsid w:val="00E128BB"/>
    <w:rsid w:val="00E21F3E"/>
    <w:rsid w:val="00E22AD1"/>
    <w:rsid w:val="00E22F06"/>
    <w:rsid w:val="00E2535C"/>
    <w:rsid w:val="00E261DB"/>
    <w:rsid w:val="00E32050"/>
    <w:rsid w:val="00E32B2C"/>
    <w:rsid w:val="00E333A8"/>
    <w:rsid w:val="00E34C5F"/>
    <w:rsid w:val="00E460C1"/>
    <w:rsid w:val="00E50C17"/>
    <w:rsid w:val="00E53654"/>
    <w:rsid w:val="00E55534"/>
    <w:rsid w:val="00E60C99"/>
    <w:rsid w:val="00E61110"/>
    <w:rsid w:val="00E63B7D"/>
    <w:rsid w:val="00E6710A"/>
    <w:rsid w:val="00E67E10"/>
    <w:rsid w:val="00E67EDD"/>
    <w:rsid w:val="00E703B6"/>
    <w:rsid w:val="00E71B86"/>
    <w:rsid w:val="00E734F9"/>
    <w:rsid w:val="00E74AC0"/>
    <w:rsid w:val="00E817FC"/>
    <w:rsid w:val="00E833CB"/>
    <w:rsid w:val="00E849CD"/>
    <w:rsid w:val="00E91B93"/>
    <w:rsid w:val="00E9314F"/>
    <w:rsid w:val="00E93D20"/>
    <w:rsid w:val="00EA3B77"/>
    <w:rsid w:val="00EA7ACE"/>
    <w:rsid w:val="00EA7C45"/>
    <w:rsid w:val="00EB0FC0"/>
    <w:rsid w:val="00EB1DF7"/>
    <w:rsid w:val="00EB2CE3"/>
    <w:rsid w:val="00EB334B"/>
    <w:rsid w:val="00EB4A5F"/>
    <w:rsid w:val="00EB61CD"/>
    <w:rsid w:val="00EB7DAB"/>
    <w:rsid w:val="00EC02C0"/>
    <w:rsid w:val="00EC3444"/>
    <w:rsid w:val="00EC373C"/>
    <w:rsid w:val="00ED2475"/>
    <w:rsid w:val="00ED279B"/>
    <w:rsid w:val="00ED4D72"/>
    <w:rsid w:val="00EE00DB"/>
    <w:rsid w:val="00EE072E"/>
    <w:rsid w:val="00EE411E"/>
    <w:rsid w:val="00EE6994"/>
    <w:rsid w:val="00EE7AF7"/>
    <w:rsid w:val="00EF4BAC"/>
    <w:rsid w:val="00EF4BDB"/>
    <w:rsid w:val="00EF553E"/>
    <w:rsid w:val="00F01A1A"/>
    <w:rsid w:val="00F02657"/>
    <w:rsid w:val="00F02867"/>
    <w:rsid w:val="00F069CF"/>
    <w:rsid w:val="00F078A0"/>
    <w:rsid w:val="00F07D63"/>
    <w:rsid w:val="00F12257"/>
    <w:rsid w:val="00F1256C"/>
    <w:rsid w:val="00F13645"/>
    <w:rsid w:val="00F14C16"/>
    <w:rsid w:val="00F17026"/>
    <w:rsid w:val="00F21C8E"/>
    <w:rsid w:val="00F24A68"/>
    <w:rsid w:val="00F41579"/>
    <w:rsid w:val="00F429AF"/>
    <w:rsid w:val="00F47428"/>
    <w:rsid w:val="00F50377"/>
    <w:rsid w:val="00F5160B"/>
    <w:rsid w:val="00F577C7"/>
    <w:rsid w:val="00F642B5"/>
    <w:rsid w:val="00F659C3"/>
    <w:rsid w:val="00F70353"/>
    <w:rsid w:val="00F72AC9"/>
    <w:rsid w:val="00F73459"/>
    <w:rsid w:val="00F74A85"/>
    <w:rsid w:val="00F757BC"/>
    <w:rsid w:val="00F77016"/>
    <w:rsid w:val="00F8090D"/>
    <w:rsid w:val="00F847B0"/>
    <w:rsid w:val="00F85964"/>
    <w:rsid w:val="00FA1B26"/>
    <w:rsid w:val="00FA2B81"/>
    <w:rsid w:val="00FA625A"/>
    <w:rsid w:val="00FB3617"/>
    <w:rsid w:val="00FB4F02"/>
    <w:rsid w:val="00FC0468"/>
    <w:rsid w:val="00FC55E3"/>
    <w:rsid w:val="00FC7ED8"/>
    <w:rsid w:val="00FE0163"/>
    <w:rsid w:val="00FE2F77"/>
    <w:rsid w:val="00FE4873"/>
    <w:rsid w:val="00FE5179"/>
    <w:rsid w:val="00FE57AB"/>
    <w:rsid w:val="00FE5F36"/>
    <w:rsid w:val="00FF16D1"/>
    <w:rsid w:val="00FF4740"/>
    <w:rsid w:val="00FF65E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DFFFB"/>
  <w15:chartTrackingRefBased/>
  <w15:docId w15:val="{F72C4332-A06C-46C2-9CF0-37DEE76E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A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6A1B"/>
    <w:pPr>
      <w:ind w:left="720"/>
      <w:contextualSpacing/>
    </w:pPr>
  </w:style>
  <w:style w:type="paragraph" w:styleId="Textonotapie">
    <w:name w:val="footnote text"/>
    <w:basedOn w:val="Normal"/>
    <w:link w:val="TextonotapieCar"/>
    <w:uiPriority w:val="99"/>
    <w:semiHidden/>
    <w:unhideWhenUsed/>
    <w:rsid w:val="00026A1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6A1B"/>
    <w:rPr>
      <w:sz w:val="20"/>
      <w:szCs w:val="20"/>
    </w:rPr>
  </w:style>
  <w:style w:type="character" w:styleId="Refdenotaalpie">
    <w:name w:val="footnote reference"/>
    <w:basedOn w:val="Fuentedeprrafopredeter"/>
    <w:uiPriority w:val="99"/>
    <w:semiHidden/>
    <w:unhideWhenUsed/>
    <w:rsid w:val="00026A1B"/>
    <w:rPr>
      <w:vertAlign w:val="superscript"/>
    </w:rPr>
  </w:style>
  <w:style w:type="character" w:styleId="Refdecomentario">
    <w:name w:val="annotation reference"/>
    <w:basedOn w:val="Fuentedeprrafopredeter"/>
    <w:uiPriority w:val="99"/>
    <w:semiHidden/>
    <w:unhideWhenUsed/>
    <w:rsid w:val="008F2125"/>
    <w:rPr>
      <w:sz w:val="16"/>
      <w:szCs w:val="16"/>
    </w:rPr>
  </w:style>
  <w:style w:type="paragraph" w:styleId="Textocomentario">
    <w:name w:val="annotation text"/>
    <w:basedOn w:val="Normal"/>
    <w:link w:val="TextocomentarioCar"/>
    <w:uiPriority w:val="99"/>
    <w:semiHidden/>
    <w:unhideWhenUsed/>
    <w:rsid w:val="008F212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F2125"/>
    <w:rPr>
      <w:sz w:val="20"/>
      <w:szCs w:val="20"/>
    </w:rPr>
  </w:style>
  <w:style w:type="paragraph" w:styleId="Asuntodelcomentario">
    <w:name w:val="annotation subject"/>
    <w:basedOn w:val="Textocomentario"/>
    <w:next w:val="Textocomentario"/>
    <w:link w:val="AsuntodelcomentarioCar"/>
    <w:uiPriority w:val="99"/>
    <w:semiHidden/>
    <w:unhideWhenUsed/>
    <w:rsid w:val="008F2125"/>
    <w:rPr>
      <w:b/>
      <w:bCs/>
    </w:rPr>
  </w:style>
  <w:style w:type="character" w:customStyle="1" w:styleId="AsuntodelcomentarioCar">
    <w:name w:val="Asunto del comentario Car"/>
    <w:basedOn w:val="TextocomentarioCar"/>
    <w:link w:val="Asuntodelcomentario"/>
    <w:uiPriority w:val="99"/>
    <w:semiHidden/>
    <w:rsid w:val="008F2125"/>
    <w:rPr>
      <w:b/>
      <w:bCs/>
      <w:sz w:val="20"/>
      <w:szCs w:val="20"/>
    </w:rPr>
  </w:style>
  <w:style w:type="paragraph" w:styleId="Textodeglobo">
    <w:name w:val="Balloon Text"/>
    <w:basedOn w:val="Normal"/>
    <w:link w:val="TextodegloboCar"/>
    <w:uiPriority w:val="99"/>
    <w:semiHidden/>
    <w:unhideWhenUsed/>
    <w:rsid w:val="008F21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125"/>
    <w:rPr>
      <w:rFonts w:ascii="Segoe UI" w:hAnsi="Segoe UI" w:cs="Segoe UI"/>
      <w:sz w:val="18"/>
      <w:szCs w:val="18"/>
    </w:rPr>
  </w:style>
  <w:style w:type="table" w:styleId="Tablaconcuadrcula">
    <w:name w:val="Table Grid"/>
    <w:basedOn w:val="Tablanormal"/>
    <w:uiPriority w:val="39"/>
    <w:rsid w:val="00333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B3C8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B3C86"/>
  </w:style>
  <w:style w:type="paragraph" w:styleId="Piedepgina">
    <w:name w:val="footer"/>
    <w:basedOn w:val="Normal"/>
    <w:link w:val="PiedepginaCar"/>
    <w:uiPriority w:val="99"/>
    <w:unhideWhenUsed/>
    <w:rsid w:val="002B3C8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B3C86"/>
  </w:style>
  <w:style w:type="paragraph" w:styleId="Textonotaalfinal">
    <w:name w:val="endnote text"/>
    <w:basedOn w:val="Normal"/>
    <w:link w:val="TextonotaalfinalCar"/>
    <w:uiPriority w:val="99"/>
    <w:semiHidden/>
    <w:unhideWhenUsed/>
    <w:rsid w:val="00E5553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55534"/>
    <w:rPr>
      <w:sz w:val="20"/>
      <w:szCs w:val="20"/>
    </w:rPr>
  </w:style>
  <w:style w:type="character" w:styleId="Refdenotaalfinal">
    <w:name w:val="endnote reference"/>
    <w:basedOn w:val="Fuentedeprrafopredeter"/>
    <w:uiPriority w:val="99"/>
    <w:semiHidden/>
    <w:unhideWhenUsed/>
    <w:rsid w:val="00E55534"/>
    <w:rPr>
      <w:vertAlign w:val="superscript"/>
    </w:rPr>
  </w:style>
  <w:style w:type="character" w:styleId="Hipervnculo">
    <w:name w:val="Hyperlink"/>
    <w:basedOn w:val="Fuentedeprrafopredeter"/>
    <w:uiPriority w:val="99"/>
    <w:unhideWhenUsed/>
    <w:rsid w:val="00B15674"/>
    <w:rPr>
      <w:color w:val="0563C1" w:themeColor="hyperlink"/>
      <w:u w:val="single"/>
    </w:rPr>
  </w:style>
  <w:style w:type="paragraph" w:customStyle="1" w:styleId="Default">
    <w:name w:val="Default"/>
    <w:rsid w:val="00B1567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8463">
      <w:bodyDiv w:val="1"/>
      <w:marLeft w:val="0"/>
      <w:marRight w:val="0"/>
      <w:marTop w:val="0"/>
      <w:marBottom w:val="0"/>
      <w:divBdr>
        <w:top w:val="none" w:sz="0" w:space="0" w:color="auto"/>
        <w:left w:val="none" w:sz="0" w:space="0" w:color="auto"/>
        <w:bottom w:val="none" w:sz="0" w:space="0" w:color="auto"/>
        <w:right w:val="none" w:sz="0" w:space="0" w:color="auto"/>
      </w:divBdr>
    </w:div>
    <w:div w:id="543563654">
      <w:bodyDiv w:val="1"/>
      <w:marLeft w:val="0"/>
      <w:marRight w:val="0"/>
      <w:marTop w:val="0"/>
      <w:marBottom w:val="0"/>
      <w:divBdr>
        <w:top w:val="none" w:sz="0" w:space="0" w:color="auto"/>
        <w:left w:val="none" w:sz="0" w:space="0" w:color="auto"/>
        <w:bottom w:val="none" w:sz="0" w:space="0" w:color="auto"/>
        <w:right w:val="none" w:sz="0" w:space="0" w:color="auto"/>
      </w:divBdr>
    </w:div>
    <w:div w:id="574819783">
      <w:bodyDiv w:val="1"/>
      <w:marLeft w:val="0"/>
      <w:marRight w:val="0"/>
      <w:marTop w:val="0"/>
      <w:marBottom w:val="0"/>
      <w:divBdr>
        <w:top w:val="none" w:sz="0" w:space="0" w:color="auto"/>
        <w:left w:val="none" w:sz="0" w:space="0" w:color="auto"/>
        <w:bottom w:val="none" w:sz="0" w:space="0" w:color="auto"/>
        <w:right w:val="none" w:sz="0" w:space="0" w:color="auto"/>
      </w:divBdr>
    </w:div>
    <w:div w:id="646710893">
      <w:bodyDiv w:val="1"/>
      <w:marLeft w:val="0"/>
      <w:marRight w:val="0"/>
      <w:marTop w:val="0"/>
      <w:marBottom w:val="0"/>
      <w:divBdr>
        <w:top w:val="none" w:sz="0" w:space="0" w:color="auto"/>
        <w:left w:val="none" w:sz="0" w:space="0" w:color="auto"/>
        <w:bottom w:val="none" w:sz="0" w:space="0" w:color="auto"/>
        <w:right w:val="none" w:sz="0" w:space="0" w:color="auto"/>
      </w:divBdr>
    </w:div>
    <w:div w:id="1169828753">
      <w:bodyDiv w:val="1"/>
      <w:marLeft w:val="0"/>
      <w:marRight w:val="0"/>
      <w:marTop w:val="0"/>
      <w:marBottom w:val="0"/>
      <w:divBdr>
        <w:top w:val="none" w:sz="0" w:space="0" w:color="auto"/>
        <w:left w:val="none" w:sz="0" w:space="0" w:color="auto"/>
        <w:bottom w:val="none" w:sz="0" w:space="0" w:color="auto"/>
        <w:right w:val="none" w:sz="0" w:space="0" w:color="auto"/>
      </w:divBdr>
    </w:div>
    <w:div w:id="1464352615">
      <w:bodyDiv w:val="1"/>
      <w:marLeft w:val="0"/>
      <w:marRight w:val="0"/>
      <w:marTop w:val="0"/>
      <w:marBottom w:val="0"/>
      <w:divBdr>
        <w:top w:val="none" w:sz="0" w:space="0" w:color="auto"/>
        <w:left w:val="none" w:sz="0" w:space="0" w:color="auto"/>
        <w:bottom w:val="none" w:sz="0" w:space="0" w:color="auto"/>
        <w:right w:val="none" w:sz="0" w:space="0" w:color="auto"/>
      </w:divBdr>
    </w:div>
    <w:div w:id="1479880284">
      <w:bodyDiv w:val="1"/>
      <w:marLeft w:val="0"/>
      <w:marRight w:val="0"/>
      <w:marTop w:val="0"/>
      <w:marBottom w:val="0"/>
      <w:divBdr>
        <w:top w:val="none" w:sz="0" w:space="0" w:color="auto"/>
        <w:left w:val="none" w:sz="0" w:space="0" w:color="auto"/>
        <w:bottom w:val="none" w:sz="0" w:space="0" w:color="auto"/>
        <w:right w:val="none" w:sz="0" w:space="0" w:color="auto"/>
      </w:divBdr>
    </w:div>
    <w:div w:id="1512647471">
      <w:bodyDiv w:val="1"/>
      <w:marLeft w:val="0"/>
      <w:marRight w:val="0"/>
      <w:marTop w:val="0"/>
      <w:marBottom w:val="0"/>
      <w:divBdr>
        <w:top w:val="none" w:sz="0" w:space="0" w:color="auto"/>
        <w:left w:val="none" w:sz="0" w:space="0" w:color="auto"/>
        <w:bottom w:val="none" w:sz="0" w:space="0" w:color="auto"/>
        <w:right w:val="none" w:sz="0" w:space="0" w:color="auto"/>
      </w:divBdr>
      <w:divsChild>
        <w:div w:id="127212724">
          <w:marLeft w:val="864"/>
          <w:marRight w:val="0"/>
          <w:marTop w:val="74"/>
          <w:marBottom w:val="0"/>
          <w:divBdr>
            <w:top w:val="none" w:sz="0" w:space="0" w:color="auto"/>
            <w:left w:val="none" w:sz="0" w:space="0" w:color="auto"/>
            <w:bottom w:val="none" w:sz="0" w:space="0" w:color="auto"/>
            <w:right w:val="none" w:sz="0" w:space="0" w:color="auto"/>
          </w:divBdr>
        </w:div>
        <w:div w:id="133521293">
          <w:marLeft w:val="864"/>
          <w:marRight w:val="0"/>
          <w:marTop w:val="74"/>
          <w:marBottom w:val="0"/>
          <w:divBdr>
            <w:top w:val="none" w:sz="0" w:space="0" w:color="auto"/>
            <w:left w:val="none" w:sz="0" w:space="0" w:color="auto"/>
            <w:bottom w:val="none" w:sz="0" w:space="0" w:color="auto"/>
            <w:right w:val="none" w:sz="0" w:space="0" w:color="auto"/>
          </w:divBdr>
        </w:div>
      </w:divsChild>
    </w:div>
    <w:div w:id="174564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an.a.vega@gmail.com" TargetMode="Externa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emf"/><Relationship Id="rId10" Type="http://schemas.openxmlformats.org/officeDocument/2006/relationships/hyperlink" Target="mailto:cintia_zavi@hotmai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onia.araujo.689@gmail.com" TargetMode="External"/><Relationship Id="rId14" Type="http://schemas.openxmlformats.org/officeDocument/2006/relationships/chart" Target="charts/chart4.xml"/><Relationship Id="rId22" Type="http://schemas.openxmlformats.org/officeDocument/2006/relationships/image" Target="media/image3.emf"/></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3.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AR"/>
              <a:t>Gasto Público Consolidado</a:t>
            </a:r>
          </a:p>
        </c:rich>
      </c:tx>
      <c:overlay val="0"/>
    </c:title>
    <c:autoTitleDeleted val="0"/>
    <c:plotArea>
      <c:layout/>
      <c:barChart>
        <c:barDir val="col"/>
        <c:grouping val="stacked"/>
        <c:varyColors val="0"/>
        <c:ser>
          <c:idx val="0"/>
          <c:order val="0"/>
          <c:tx>
            <c:strRef>
              <c:f>'G4-Gasto Publico Consolidado'!$F$6</c:f>
              <c:strCache>
                <c:ptCount val="1"/>
                <c:pt idx="0">
                  <c:v>Nación</c:v>
                </c:pt>
              </c:strCache>
            </c:strRef>
          </c:tx>
          <c:spPr>
            <a:solidFill>
              <a:schemeClr val="bg1">
                <a:lumMod val="50000"/>
                <a:alpha val="86000"/>
              </a:schemeClr>
            </a:solidFill>
          </c:spPr>
          <c:invertIfNegative val="0"/>
          <c:dLbls>
            <c:numFmt formatCode="0%" sourceLinked="0"/>
            <c:spPr>
              <a:noFill/>
              <a:ln>
                <a:noFill/>
              </a:ln>
              <a:effectLst/>
            </c:spPr>
            <c:txPr>
              <a:bodyPr rot="-1800000"/>
              <a:lstStyle/>
              <a:p>
                <a:pPr>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'G4-Gasto Publico Consolidado'!$A$7:$A$34</c:f>
              <c:numCache>
                <c:formatCode>General</c:formatCod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numCache>
            </c:numRef>
          </c:cat>
          <c:val>
            <c:numRef>
              <c:f>'G4-Gasto Publico Consolidado'!$F$7:$F$34</c:f>
              <c:numCache>
                <c:formatCode>0.00%</c:formatCode>
                <c:ptCount val="28"/>
                <c:pt idx="0">
                  <c:v>0.62560725316139831</c:v>
                </c:pt>
                <c:pt idx="1">
                  <c:v>0.59154251679114134</c:v>
                </c:pt>
                <c:pt idx="2">
                  <c:v>0.55427672587172183</c:v>
                </c:pt>
                <c:pt idx="3">
                  <c:v>0.51567239230356043</c:v>
                </c:pt>
                <c:pt idx="4">
                  <c:v>0.51924132425159719</c:v>
                </c:pt>
                <c:pt idx="5">
                  <c:v>0.52628513081228145</c:v>
                </c:pt>
                <c:pt idx="6">
                  <c:v>0.52926822767189208</c:v>
                </c:pt>
                <c:pt idx="7">
                  <c:v>0.52589556814940308</c:v>
                </c:pt>
                <c:pt idx="8">
                  <c:v>0.51128200469755591</c:v>
                </c:pt>
                <c:pt idx="9">
                  <c:v>0.51381977124563016</c:v>
                </c:pt>
                <c:pt idx="10">
                  <c:v>0.51575817772870614</c:v>
                </c:pt>
                <c:pt idx="11">
                  <c:v>0.50956450608437642</c:v>
                </c:pt>
                <c:pt idx="12">
                  <c:v>0.51522631903577687</c:v>
                </c:pt>
                <c:pt idx="13">
                  <c:v>0.52665279219446814</c:v>
                </c:pt>
                <c:pt idx="14">
                  <c:v>0.49607976713453678</c:v>
                </c:pt>
                <c:pt idx="15">
                  <c:v>0.49848336763299228</c:v>
                </c:pt>
                <c:pt idx="16">
                  <c:v>0.48753710860619143</c:v>
                </c:pt>
                <c:pt idx="17">
                  <c:v>0.51901994466039081</c:v>
                </c:pt>
                <c:pt idx="18">
                  <c:v>0.53148695876125929</c:v>
                </c:pt>
                <c:pt idx="19">
                  <c:v>0.54173019207556539</c:v>
                </c:pt>
                <c:pt idx="20">
                  <c:v>0.54998869664930683</c:v>
                </c:pt>
                <c:pt idx="21">
                  <c:v>0.55448896380261059</c:v>
                </c:pt>
                <c:pt idx="22">
                  <c:v>0.56256425520754472</c:v>
                </c:pt>
                <c:pt idx="23">
                  <c:v>0.56111694220099717</c:v>
                </c:pt>
                <c:pt idx="24">
                  <c:v>0.580076741360677</c:v>
                </c:pt>
                <c:pt idx="25">
                  <c:v>0.55994338401918398</c:v>
                </c:pt>
                <c:pt idx="26">
                  <c:v>0.57839774517024256</c:v>
                </c:pt>
                <c:pt idx="27">
                  <c:v>0.55622920681758092</c:v>
                </c:pt>
              </c:numCache>
            </c:numRef>
          </c:val>
          <c:extLst>
            <c:ext xmlns:c16="http://schemas.microsoft.com/office/drawing/2014/chart" uri="{C3380CC4-5D6E-409C-BE32-E72D297353CC}">
              <c16:uniqueId val="{00000000-4D24-4D6B-9B01-A177D9EA283E}"/>
            </c:ext>
          </c:extLst>
        </c:ser>
        <c:ser>
          <c:idx val="1"/>
          <c:order val="1"/>
          <c:tx>
            <c:strRef>
              <c:f>'G4-Gasto Publico Consolidado'!$G$6</c:f>
              <c:strCache>
                <c:ptCount val="1"/>
                <c:pt idx="0">
                  <c:v>Provincias + CABA</c:v>
                </c:pt>
              </c:strCache>
            </c:strRef>
          </c:tx>
          <c:invertIfNegative val="0"/>
          <c:dLbls>
            <c:numFmt formatCode="0%" sourceLinked="0"/>
            <c:spPr>
              <a:noFill/>
              <a:ln>
                <a:noFill/>
              </a:ln>
              <a:effectLst/>
            </c:spPr>
            <c:txPr>
              <a:bodyPr rot="-1800000"/>
              <a:lstStyle/>
              <a:p>
                <a:pPr>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'G4-Gasto Publico Consolidado'!$A$7:$A$34</c:f>
              <c:numCache>
                <c:formatCode>General</c:formatCod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numCache>
            </c:numRef>
          </c:cat>
          <c:val>
            <c:numRef>
              <c:f>'G4-Gasto Publico Consolidado'!$G$7:$G$34</c:f>
              <c:numCache>
                <c:formatCode>0.00%</c:formatCode>
                <c:ptCount val="28"/>
                <c:pt idx="0">
                  <c:v>0.30820398283087902</c:v>
                </c:pt>
                <c:pt idx="1">
                  <c:v>0.32965606179278562</c:v>
                </c:pt>
                <c:pt idx="2">
                  <c:v>0.36388453407479382</c:v>
                </c:pt>
                <c:pt idx="3">
                  <c:v>0.39505383060718069</c:v>
                </c:pt>
                <c:pt idx="4">
                  <c:v>0.39234727140840475</c:v>
                </c:pt>
                <c:pt idx="5">
                  <c:v>0.39212520893055625</c:v>
                </c:pt>
                <c:pt idx="6">
                  <c:v>0.38973176777043861</c:v>
                </c:pt>
                <c:pt idx="7">
                  <c:v>0.39034451746582394</c:v>
                </c:pt>
                <c:pt idx="8">
                  <c:v>0.40105294944868808</c:v>
                </c:pt>
                <c:pt idx="9">
                  <c:v>0.40037698680292999</c:v>
                </c:pt>
                <c:pt idx="10">
                  <c:v>0.40020954417770649</c:v>
                </c:pt>
                <c:pt idx="11">
                  <c:v>0.40844540580786654</c:v>
                </c:pt>
                <c:pt idx="12">
                  <c:v>0.40322554919193127</c:v>
                </c:pt>
                <c:pt idx="13">
                  <c:v>0.39144946966538458</c:v>
                </c:pt>
                <c:pt idx="14">
                  <c:v>0.41447169758361063</c:v>
                </c:pt>
                <c:pt idx="15">
                  <c:v>0.41225423097267283</c:v>
                </c:pt>
                <c:pt idx="16">
                  <c:v>0.42109227071514654</c:v>
                </c:pt>
                <c:pt idx="17">
                  <c:v>0.39776071065192675</c:v>
                </c:pt>
                <c:pt idx="18">
                  <c:v>0.39257907323502844</c:v>
                </c:pt>
                <c:pt idx="19">
                  <c:v>0.37813593648778887</c:v>
                </c:pt>
                <c:pt idx="20">
                  <c:v>0.3665737164217322</c:v>
                </c:pt>
                <c:pt idx="21">
                  <c:v>0.3683135840578986</c:v>
                </c:pt>
                <c:pt idx="22">
                  <c:v>0.36340375492297883</c:v>
                </c:pt>
                <c:pt idx="23">
                  <c:v>0.36116520893099102</c:v>
                </c:pt>
                <c:pt idx="24">
                  <c:v>0.34607555948190138</c:v>
                </c:pt>
                <c:pt idx="25">
                  <c:v>0.36337956942235605</c:v>
                </c:pt>
                <c:pt idx="26">
                  <c:v>0.35213860953395193</c:v>
                </c:pt>
                <c:pt idx="27">
                  <c:v>0.37015557259957421</c:v>
                </c:pt>
              </c:numCache>
            </c:numRef>
          </c:val>
          <c:extLst>
            <c:ext xmlns:c16="http://schemas.microsoft.com/office/drawing/2014/chart" uri="{C3380CC4-5D6E-409C-BE32-E72D297353CC}">
              <c16:uniqueId val="{00000001-4D24-4D6B-9B01-A177D9EA283E}"/>
            </c:ext>
          </c:extLst>
        </c:ser>
        <c:ser>
          <c:idx val="2"/>
          <c:order val="2"/>
          <c:tx>
            <c:strRef>
              <c:f>'G4-Gasto Publico Consolidado'!$H$6</c:f>
              <c:strCache>
                <c:ptCount val="1"/>
                <c:pt idx="0">
                  <c:v>Municipios</c:v>
                </c:pt>
              </c:strCache>
            </c:strRef>
          </c:tx>
          <c:spPr>
            <a:blipFill>
              <a:blip xmlns:r="http://schemas.openxmlformats.org/officeDocument/2006/relationships" r:embed="rId1"/>
              <a:tile tx="0" ty="0" sx="100000" sy="100000" flip="none" algn="tl"/>
            </a:blipFill>
          </c:spPr>
          <c:invertIfNegative val="0"/>
          <c:dLbls>
            <c:numFmt formatCode="0%" sourceLinked="0"/>
            <c:spPr>
              <a:noFill/>
              <a:ln>
                <a:noFill/>
              </a:ln>
              <a:effectLst/>
            </c:spPr>
            <c:txPr>
              <a:bodyPr rot="-2100000"/>
              <a:lstStyle/>
              <a:p>
                <a:pPr>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'G4-Gasto Publico Consolidado'!$A$7:$A$34</c:f>
              <c:numCache>
                <c:formatCode>General</c:formatCod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numCache>
            </c:numRef>
          </c:cat>
          <c:val>
            <c:numRef>
              <c:f>'G4-Gasto Publico Consolidado'!$H$7:$H$34</c:f>
              <c:numCache>
                <c:formatCode>0.00%</c:formatCode>
                <c:ptCount val="28"/>
                <c:pt idx="0">
                  <c:v>6.618876400772275E-2</c:v>
                </c:pt>
                <c:pt idx="1">
                  <c:v>7.8801421416073006E-2</c:v>
                </c:pt>
                <c:pt idx="2">
                  <c:v>8.183874005348428E-2</c:v>
                </c:pt>
                <c:pt idx="3">
                  <c:v>8.9273777089259043E-2</c:v>
                </c:pt>
                <c:pt idx="4">
                  <c:v>8.8411404339998126E-2</c:v>
                </c:pt>
                <c:pt idx="5">
                  <c:v>8.1589660257162425E-2</c:v>
                </c:pt>
                <c:pt idx="6">
                  <c:v>8.1000004557669147E-2</c:v>
                </c:pt>
                <c:pt idx="7">
                  <c:v>8.3759914384773024E-2</c:v>
                </c:pt>
                <c:pt idx="8">
                  <c:v>8.7665045853755896E-2</c:v>
                </c:pt>
                <c:pt idx="9">
                  <c:v>8.5803241951440026E-2</c:v>
                </c:pt>
                <c:pt idx="10">
                  <c:v>8.4032278093587362E-2</c:v>
                </c:pt>
                <c:pt idx="11">
                  <c:v>8.1990088107757098E-2</c:v>
                </c:pt>
                <c:pt idx="12">
                  <c:v>8.1548131772292073E-2</c:v>
                </c:pt>
                <c:pt idx="13">
                  <c:v>8.1897738140147225E-2</c:v>
                </c:pt>
                <c:pt idx="14">
                  <c:v>8.944853528185262E-2</c:v>
                </c:pt>
                <c:pt idx="15">
                  <c:v>8.9262401394334639E-2</c:v>
                </c:pt>
                <c:pt idx="16">
                  <c:v>9.1370620678662071E-2</c:v>
                </c:pt>
                <c:pt idx="17">
                  <c:v>8.3219344687682203E-2</c:v>
                </c:pt>
                <c:pt idx="18">
                  <c:v>7.5933968003712229E-2</c:v>
                </c:pt>
                <c:pt idx="19">
                  <c:v>8.0133871436645812E-2</c:v>
                </c:pt>
                <c:pt idx="20">
                  <c:v>8.3437586928960833E-2</c:v>
                </c:pt>
                <c:pt idx="21">
                  <c:v>7.7197452139490641E-2</c:v>
                </c:pt>
                <c:pt idx="22">
                  <c:v>7.4031989869476303E-2</c:v>
                </c:pt>
                <c:pt idx="23">
                  <c:v>7.7717848868011807E-2</c:v>
                </c:pt>
                <c:pt idx="24">
                  <c:v>7.3847699157421717E-2</c:v>
                </c:pt>
                <c:pt idx="25">
                  <c:v>7.6677046558459805E-2</c:v>
                </c:pt>
                <c:pt idx="26">
                  <c:v>6.9463645295805301E-2</c:v>
                </c:pt>
                <c:pt idx="27">
                  <c:v>7.3615220582844879E-2</c:v>
                </c:pt>
              </c:numCache>
            </c:numRef>
          </c:val>
          <c:extLst>
            <c:ext xmlns:c16="http://schemas.microsoft.com/office/drawing/2014/chart" uri="{C3380CC4-5D6E-409C-BE32-E72D297353CC}">
              <c16:uniqueId val="{00000002-4D24-4D6B-9B01-A177D9EA283E}"/>
            </c:ext>
          </c:extLst>
        </c:ser>
        <c:dLbls>
          <c:dLblPos val="ctr"/>
          <c:showLegendKey val="0"/>
          <c:showVal val="1"/>
          <c:showCatName val="0"/>
          <c:showSerName val="0"/>
          <c:showPercent val="0"/>
          <c:showBubbleSize val="0"/>
        </c:dLbls>
        <c:gapWidth val="55"/>
        <c:overlap val="100"/>
        <c:axId val="630086632"/>
        <c:axId val="630083104"/>
      </c:barChart>
      <c:catAx>
        <c:axId val="630086632"/>
        <c:scaling>
          <c:orientation val="minMax"/>
        </c:scaling>
        <c:delete val="0"/>
        <c:axPos val="b"/>
        <c:numFmt formatCode="General" sourceLinked="1"/>
        <c:majorTickMark val="none"/>
        <c:minorTickMark val="none"/>
        <c:tickLblPos val="nextTo"/>
        <c:crossAx val="630083104"/>
        <c:crosses val="autoZero"/>
        <c:auto val="1"/>
        <c:lblAlgn val="ctr"/>
        <c:lblOffset val="100"/>
        <c:tickLblSkip val="1"/>
        <c:noMultiLvlLbl val="0"/>
      </c:catAx>
      <c:valAx>
        <c:axId val="630083104"/>
        <c:scaling>
          <c:orientation val="minMax"/>
          <c:max val="1"/>
        </c:scaling>
        <c:delete val="0"/>
        <c:axPos val="l"/>
        <c:majorGridlines/>
        <c:numFmt formatCode="0%" sourceLinked="0"/>
        <c:majorTickMark val="none"/>
        <c:minorTickMark val="none"/>
        <c:tickLblPos val="nextTo"/>
        <c:crossAx val="630086632"/>
        <c:crosses val="autoZero"/>
        <c:crossBetween val="between"/>
      </c:valAx>
    </c:plotArea>
    <c:legend>
      <c:legendPos val="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1"/>
    <c:plotArea>
      <c:layout/>
      <c:barChart>
        <c:barDir val="col"/>
        <c:grouping val="clustered"/>
        <c:varyColors val="0"/>
        <c:ser>
          <c:idx val="0"/>
          <c:order val="0"/>
          <c:tx>
            <c:strRef>
              <c:f>'G1-Recaudación Trib. y Masa '!$A$6</c:f>
              <c:strCache>
                <c:ptCount val="1"/>
                <c:pt idx="0">
                  <c:v>Recaudación Tributaria Bruta Total</c:v>
                </c:pt>
              </c:strCache>
            </c:strRef>
          </c:tx>
          <c:invertIfNegative val="0"/>
          <c:cat>
            <c:numRef>
              <c:f>'G1-Recaudación Trib. y Masa '!$B$5:$L$5</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'G1-Recaudación Trib. y Masa '!$B$6:$M$6</c:f>
              <c:numCache>
                <c:formatCode>_(* #,##0_);_(* \(#,##0\);_(* "-"??_);_(@_)</c:formatCode>
                <c:ptCount val="12"/>
                <c:pt idx="0">
                  <c:v>363402.37520165002</c:v>
                </c:pt>
                <c:pt idx="1">
                  <c:v>486069.62313551002</c:v>
                </c:pt>
                <c:pt idx="2">
                  <c:v>643118.42701213004</c:v>
                </c:pt>
                <c:pt idx="3">
                  <c:v>810118.3493163099</c:v>
                </c:pt>
                <c:pt idx="4">
                  <c:v>1049361.1745361499</c:v>
                </c:pt>
                <c:pt idx="5">
                  <c:v>1436362.9752793801</c:v>
                </c:pt>
                <c:pt idx="6">
                  <c:v>1881746.1292513299</c:v>
                </c:pt>
                <c:pt idx="7">
                  <c:v>2537836.9041285501</c:v>
                </c:pt>
                <c:pt idx="8">
                  <c:v>3227581.5758384052</c:v>
                </c:pt>
                <c:pt idx="9">
                  <c:v>4238494.2262689583</c:v>
                </c:pt>
                <c:pt idx="10">
                  <c:v>5991531.6608397001</c:v>
                </c:pt>
              </c:numCache>
            </c:numRef>
          </c:val>
          <c:extLst>
            <c:ext xmlns:c16="http://schemas.microsoft.com/office/drawing/2014/chart" uri="{C3380CC4-5D6E-409C-BE32-E72D297353CC}">
              <c16:uniqueId val="{00000000-D602-4FEF-8157-0F2E0C1BB719}"/>
            </c:ext>
          </c:extLst>
        </c:ser>
        <c:ser>
          <c:idx val="1"/>
          <c:order val="1"/>
          <c:tx>
            <c:strRef>
              <c:f>'G1-Recaudación Trib. y Masa '!$A$7</c:f>
              <c:strCache>
                <c:ptCount val="1"/>
                <c:pt idx="0">
                  <c:v>Masa Coparticipable</c:v>
                </c:pt>
              </c:strCache>
            </c:strRef>
          </c:tx>
          <c:invertIfNegative val="0"/>
          <c:cat>
            <c:numRef>
              <c:f>'G1-Recaudación Trib. y Masa '!$B$5:$L$5</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'G1-Recaudación Trib. y Masa '!$B$7:$L$7</c:f>
              <c:numCache>
                <c:formatCode>_(* #,##0_);_(* \(#,##0\);_(* "-"??_);_(@_)</c:formatCode>
                <c:ptCount val="11"/>
                <c:pt idx="0">
                  <c:v>121609.54084680154</c:v>
                </c:pt>
                <c:pt idx="1">
                  <c:v>163338.54705620496</c:v>
                </c:pt>
                <c:pt idx="2">
                  <c:v>216240.63639992604</c:v>
                </c:pt>
                <c:pt idx="3">
                  <c:v>273609.78803488612</c:v>
                </c:pt>
                <c:pt idx="4">
                  <c:v>355251.07203298411</c:v>
                </c:pt>
                <c:pt idx="5">
                  <c:v>484507.10801065661</c:v>
                </c:pt>
                <c:pt idx="6">
                  <c:v>659074.9305031572</c:v>
                </c:pt>
                <c:pt idx="7">
                  <c:v>843208.6814510033</c:v>
                </c:pt>
                <c:pt idx="8">
                  <c:v>1110264.7343237435</c:v>
                </c:pt>
                <c:pt idx="9">
                  <c:v>1737873.8</c:v>
                </c:pt>
                <c:pt idx="10">
                  <c:v>2482795.7999999998</c:v>
                </c:pt>
              </c:numCache>
            </c:numRef>
          </c:val>
          <c:extLst>
            <c:ext xmlns:c16="http://schemas.microsoft.com/office/drawing/2014/chart" uri="{C3380CC4-5D6E-409C-BE32-E72D297353CC}">
              <c16:uniqueId val="{00000001-D602-4FEF-8157-0F2E0C1BB719}"/>
            </c:ext>
          </c:extLst>
        </c:ser>
        <c:dLbls>
          <c:showLegendKey val="0"/>
          <c:showVal val="0"/>
          <c:showCatName val="0"/>
          <c:showSerName val="0"/>
          <c:showPercent val="0"/>
          <c:showBubbleSize val="0"/>
        </c:dLbls>
        <c:gapWidth val="75"/>
        <c:axId val="630088592"/>
        <c:axId val="630086240"/>
      </c:barChart>
      <c:lineChart>
        <c:grouping val="standard"/>
        <c:varyColors val="0"/>
        <c:ser>
          <c:idx val="2"/>
          <c:order val="2"/>
          <c:tx>
            <c:strRef>
              <c:f>'G1-Recaudación Trib. y Masa '!$A$8</c:f>
              <c:strCache>
                <c:ptCount val="1"/>
                <c:pt idx="0">
                  <c:v>Participación de la Masa Coparticipable en la Recaudación Tributaria Total (eje derecho)</c:v>
                </c:pt>
              </c:strCache>
            </c:strRef>
          </c:tx>
          <c:dLbls>
            <c:numFmt formatCode="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'G1-Recaudación Trib. y Masa '!$B$5:$L$5</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'G1-Recaudación Trib. y Masa '!$B$8:$L$8</c:f>
              <c:numCache>
                <c:formatCode>0.00%</c:formatCode>
                <c:ptCount val="11"/>
                <c:pt idx="0">
                  <c:v>0.33464156853493615</c:v>
                </c:pt>
                <c:pt idx="1">
                  <c:v>0.33603940522460557</c:v>
                </c:pt>
                <c:pt idx="2">
                  <c:v>0.33623766217453982</c:v>
                </c:pt>
                <c:pt idx="3">
                  <c:v>0.33774051441470987</c:v>
                </c:pt>
                <c:pt idx="4">
                  <c:v>0.33854032401190759</c:v>
                </c:pt>
                <c:pt idx="5">
                  <c:v>0.33731523044613249</c:v>
                </c:pt>
                <c:pt idx="6">
                  <c:v>0.3502464653748889</c:v>
                </c:pt>
                <c:pt idx="7">
                  <c:v>0.33225487425108857</c:v>
                </c:pt>
                <c:pt idx="8">
                  <c:v>0.34399277237023457</c:v>
                </c:pt>
                <c:pt idx="9">
                  <c:v>0.4100215093438519</c:v>
                </c:pt>
                <c:pt idx="10">
                  <c:v>0.41438415759819941</c:v>
                </c:pt>
              </c:numCache>
            </c:numRef>
          </c:val>
          <c:smooth val="0"/>
          <c:extLst>
            <c:ext xmlns:c16="http://schemas.microsoft.com/office/drawing/2014/chart" uri="{C3380CC4-5D6E-409C-BE32-E72D297353CC}">
              <c16:uniqueId val="{00000002-D602-4FEF-8157-0F2E0C1BB719}"/>
            </c:ext>
          </c:extLst>
        </c:ser>
        <c:dLbls>
          <c:showLegendKey val="0"/>
          <c:showVal val="0"/>
          <c:showCatName val="0"/>
          <c:showSerName val="0"/>
          <c:showPercent val="0"/>
          <c:showBubbleSize val="0"/>
        </c:dLbls>
        <c:marker val="1"/>
        <c:smooth val="0"/>
        <c:axId val="630085848"/>
        <c:axId val="630082712"/>
      </c:lineChart>
      <c:catAx>
        <c:axId val="630088592"/>
        <c:scaling>
          <c:orientation val="minMax"/>
        </c:scaling>
        <c:delete val="0"/>
        <c:axPos val="b"/>
        <c:numFmt formatCode="General" sourceLinked="1"/>
        <c:majorTickMark val="none"/>
        <c:minorTickMark val="none"/>
        <c:tickLblPos val="nextTo"/>
        <c:crossAx val="630086240"/>
        <c:crosses val="autoZero"/>
        <c:auto val="1"/>
        <c:lblAlgn val="ctr"/>
        <c:lblOffset val="100"/>
        <c:noMultiLvlLbl val="0"/>
      </c:catAx>
      <c:valAx>
        <c:axId val="630086240"/>
        <c:scaling>
          <c:orientation val="minMax"/>
        </c:scaling>
        <c:delete val="0"/>
        <c:axPos val="l"/>
        <c:majorGridlines/>
        <c:title>
          <c:tx>
            <c:rich>
              <a:bodyPr rot="-5400000" vert="horz"/>
              <a:lstStyle/>
              <a:p>
                <a:pPr>
                  <a:defRPr/>
                </a:pPr>
                <a:r>
                  <a:rPr lang="en-US"/>
                  <a:t>en millones de pesos</a:t>
                </a:r>
              </a:p>
            </c:rich>
          </c:tx>
          <c:overlay val="0"/>
        </c:title>
        <c:numFmt formatCode="_(* #,##0_);_(* \(#,##0\);_(* &quot;-&quot;??_);_(@_)" sourceLinked="1"/>
        <c:majorTickMark val="none"/>
        <c:minorTickMark val="none"/>
        <c:tickLblPos val="nextTo"/>
        <c:crossAx val="630088592"/>
        <c:crosses val="autoZero"/>
        <c:crossBetween val="between"/>
      </c:valAx>
      <c:valAx>
        <c:axId val="630082712"/>
        <c:scaling>
          <c:orientation val="minMax"/>
          <c:min val="0.30000000000000004"/>
        </c:scaling>
        <c:delete val="0"/>
        <c:axPos val="r"/>
        <c:numFmt formatCode="0.00%" sourceLinked="1"/>
        <c:majorTickMark val="out"/>
        <c:minorTickMark val="none"/>
        <c:tickLblPos val="nextTo"/>
        <c:crossAx val="630085848"/>
        <c:crosses val="max"/>
        <c:crossBetween val="between"/>
      </c:valAx>
      <c:catAx>
        <c:axId val="630085848"/>
        <c:scaling>
          <c:orientation val="minMax"/>
        </c:scaling>
        <c:delete val="1"/>
        <c:axPos val="b"/>
        <c:numFmt formatCode="General" sourceLinked="1"/>
        <c:majorTickMark val="out"/>
        <c:minorTickMark val="none"/>
        <c:tickLblPos val="nextTo"/>
        <c:crossAx val="630082712"/>
        <c:crosses val="autoZero"/>
        <c:auto val="1"/>
        <c:lblAlgn val="ctr"/>
        <c:lblOffset val="100"/>
        <c:noMultiLvlLbl val="0"/>
      </c:cat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7"/>
    </mc:Choice>
    <mc:Fallback>
      <c:style val="17"/>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'G2-Distribucion Bruta'!$A$5</c:f>
              <c:strCache>
                <c:ptCount val="1"/>
                <c:pt idx="0">
                  <c:v>Recaudacion Bruta Impuestos Nacionales</c:v>
                </c:pt>
              </c:strCache>
            </c:strRef>
          </c:tx>
          <c:spPr>
            <a:solidFill>
              <a:schemeClr val="bg1">
                <a:lumMod val="75000"/>
              </a:schemeClr>
            </a:solidFill>
          </c:spPr>
          <c:invertIfNegative val="0"/>
          <c:cat>
            <c:numRef>
              <c:f>'G2-Distribucion Bruta'!$B$4:$L$4</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'G2-Distribucion Bruta'!$B$5:$L$5</c:f>
              <c:numCache>
                <c:formatCode>_(* #,##0_);_(* \(#,##0\);_(* "-"??_);_(@_)</c:formatCode>
                <c:ptCount val="11"/>
                <c:pt idx="0">
                  <c:v>310452.53777176997</c:v>
                </c:pt>
                <c:pt idx="1">
                  <c:v>417349.73267550999</c:v>
                </c:pt>
                <c:pt idx="2">
                  <c:v>550216.35161221004</c:v>
                </c:pt>
                <c:pt idx="3">
                  <c:v>688905.21335634997</c:v>
                </c:pt>
                <c:pt idx="4">
                  <c:v>873892.99700614996</c:v>
                </c:pt>
                <c:pt idx="5">
                  <c:v>1195287.35017938</c:v>
                </c:pt>
                <c:pt idx="6">
                  <c:v>1567049.5234743699</c:v>
                </c:pt>
                <c:pt idx="7">
                  <c:v>2113298.0175285498</c:v>
                </c:pt>
                <c:pt idx="8">
                  <c:v>2646993.172378405</c:v>
                </c:pt>
                <c:pt idx="9">
                  <c:v>3469629.8185166689</c:v>
                </c:pt>
                <c:pt idx="10">
                  <c:v>5023566.2</c:v>
                </c:pt>
              </c:numCache>
            </c:numRef>
          </c:val>
          <c:extLst>
            <c:ext xmlns:c16="http://schemas.microsoft.com/office/drawing/2014/chart" uri="{C3380CC4-5D6E-409C-BE32-E72D297353CC}">
              <c16:uniqueId val="{00000000-C114-4AEB-A735-5F11D77764E6}"/>
            </c:ext>
          </c:extLst>
        </c:ser>
        <c:ser>
          <c:idx val="1"/>
          <c:order val="1"/>
          <c:tx>
            <c:strRef>
              <c:f>'G2-Distribucion Bruta'!$A$7</c:f>
              <c:strCache>
                <c:ptCount val="1"/>
                <c:pt idx="0">
                  <c:v>Distribución Bruta Efectiva de Recursos Tributarios Nacionales al Grupo de Provincias y CABA</c:v>
                </c:pt>
              </c:strCache>
            </c:strRef>
          </c:tx>
          <c:spPr>
            <a:solidFill>
              <a:schemeClr val="tx1">
                <a:lumMod val="65000"/>
                <a:lumOff val="35000"/>
              </a:schemeClr>
            </a:solidFill>
          </c:spPr>
          <c:invertIfNegative val="0"/>
          <c:cat>
            <c:numRef>
              <c:f>'G2-Distribucion Bruta'!$B$4:$L$4</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'G2-Distribucion Bruta'!$B$7:$L$7</c:f>
              <c:numCache>
                <c:formatCode>_(* #,##0_);_(* \(#,##0\);_(* "-"??_);_(@_)</c:formatCode>
                <c:ptCount val="11"/>
                <c:pt idx="0">
                  <c:v>75007.458501485729</c:v>
                </c:pt>
                <c:pt idx="1">
                  <c:v>100724.35988545086</c:v>
                </c:pt>
                <c:pt idx="2">
                  <c:v>133214.28765400001</c:v>
                </c:pt>
                <c:pt idx="3">
                  <c:v>169366.15843443997</c:v>
                </c:pt>
                <c:pt idx="4">
                  <c:v>220716.49374427999</c:v>
                </c:pt>
                <c:pt idx="5">
                  <c:v>302880.11004717997</c:v>
                </c:pt>
                <c:pt idx="6">
                  <c:v>414203.93738371658</c:v>
                </c:pt>
                <c:pt idx="7">
                  <c:v>561734.322678786</c:v>
                </c:pt>
                <c:pt idx="8">
                  <c:v>752852.3773548454</c:v>
                </c:pt>
                <c:pt idx="9">
                  <c:v>1055958.5</c:v>
                </c:pt>
                <c:pt idx="10">
                  <c:v>1547055.7935376519</c:v>
                </c:pt>
              </c:numCache>
            </c:numRef>
          </c:val>
          <c:extLst>
            <c:ext xmlns:c16="http://schemas.microsoft.com/office/drawing/2014/chart" uri="{C3380CC4-5D6E-409C-BE32-E72D297353CC}">
              <c16:uniqueId val="{00000001-C114-4AEB-A735-5F11D77764E6}"/>
            </c:ext>
          </c:extLst>
        </c:ser>
        <c:dLbls>
          <c:showLegendKey val="0"/>
          <c:showVal val="0"/>
          <c:showCatName val="0"/>
          <c:showSerName val="0"/>
          <c:showPercent val="0"/>
          <c:showBubbleSize val="0"/>
        </c:dLbls>
        <c:gapWidth val="150"/>
        <c:axId val="630081928"/>
        <c:axId val="630082320"/>
      </c:barChart>
      <c:lineChart>
        <c:grouping val="standard"/>
        <c:varyColors val="0"/>
        <c:ser>
          <c:idx val="2"/>
          <c:order val="2"/>
          <c:tx>
            <c:strRef>
              <c:f>'G2-Distribucion Bruta'!$A$8</c:f>
              <c:strCache>
                <c:ptCount val="1"/>
                <c:pt idx="0">
                  <c:v>Participación de la Distribución en la Recaudación Tributaria Bruta Nacional</c:v>
                </c:pt>
              </c:strCache>
            </c:strRef>
          </c:tx>
          <c:dLbls>
            <c:spPr>
              <a:noFill/>
              <a:ln>
                <a:noFill/>
              </a:ln>
              <a:effectLst/>
            </c:spPr>
            <c:txPr>
              <a:bodyPr rot="0"/>
              <a:lstStyle/>
              <a:p>
                <a:pPr>
                  <a:defRPr/>
                </a:pPr>
                <a:endParaRPr lang="es-A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'G2-Distribucion Bruta'!$B$4:$L$4</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'G2-Distribucion Bruta'!$B$8:$L$8</c:f>
              <c:numCache>
                <c:formatCode>0%</c:formatCode>
                <c:ptCount val="11"/>
                <c:pt idx="0">
                  <c:v>0.24160684605718272</c:v>
                </c:pt>
                <c:pt idx="1">
                  <c:v>0.24134281634670218</c:v>
                </c:pt>
                <c:pt idx="2">
                  <c:v>0.242112556749111</c:v>
                </c:pt>
                <c:pt idx="3">
                  <c:v>0.2458482751339435</c:v>
                </c:pt>
                <c:pt idx="4">
                  <c:v>0.25256695556598757</c:v>
                </c:pt>
                <c:pt idx="5">
                  <c:v>0.25339522751723753</c:v>
                </c:pt>
                <c:pt idx="6">
                  <c:v>0.26432089808200065</c:v>
                </c:pt>
                <c:pt idx="7">
                  <c:v>0.26580932647432309</c:v>
                </c:pt>
                <c:pt idx="8">
                  <c:v>0.28441795211673487</c:v>
                </c:pt>
                <c:pt idx="9">
                  <c:v>0.30434327442212317</c:v>
                </c:pt>
                <c:pt idx="10">
                  <c:v>0.30795967086840653</c:v>
                </c:pt>
              </c:numCache>
            </c:numRef>
          </c:val>
          <c:smooth val="0"/>
          <c:extLst>
            <c:ext xmlns:c16="http://schemas.microsoft.com/office/drawing/2014/chart" uri="{C3380CC4-5D6E-409C-BE32-E72D297353CC}">
              <c16:uniqueId val="{00000002-C114-4AEB-A735-5F11D77764E6}"/>
            </c:ext>
          </c:extLst>
        </c:ser>
        <c:dLbls>
          <c:showLegendKey val="0"/>
          <c:showVal val="0"/>
          <c:showCatName val="0"/>
          <c:showSerName val="0"/>
          <c:showPercent val="0"/>
          <c:showBubbleSize val="0"/>
        </c:dLbls>
        <c:marker val="1"/>
        <c:smooth val="0"/>
        <c:axId val="630083888"/>
        <c:axId val="630083496"/>
      </c:lineChart>
      <c:catAx>
        <c:axId val="630081928"/>
        <c:scaling>
          <c:orientation val="minMax"/>
        </c:scaling>
        <c:delete val="0"/>
        <c:axPos val="b"/>
        <c:numFmt formatCode="General" sourceLinked="1"/>
        <c:majorTickMark val="none"/>
        <c:minorTickMark val="none"/>
        <c:tickLblPos val="nextTo"/>
        <c:txPr>
          <a:bodyPr/>
          <a:lstStyle/>
          <a:p>
            <a:pPr>
              <a:defRPr sz="1000"/>
            </a:pPr>
            <a:endParaRPr lang="es-AR"/>
          </a:p>
        </c:txPr>
        <c:crossAx val="630082320"/>
        <c:crosses val="autoZero"/>
        <c:auto val="1"/>
        <c:lblAlgn val="ctr"/>
        <c:lblOffset val="100"/>
        <c:noMultiLvlLbl val="0"/>
      </c:catAx>
      <c:valAx>
        <c:axId val="630082320"/>
        <c:scaling>
          <c:orientation val="minMax"/>
        </c:scaling>
        <c:delete val="0"/>
        <c:axPos val="l"/>
        <c:majorGridlines/>
        <c:title>
          <c:tx>
            <c:rich>
              <a:bodyPr/>
              <a:lstStyle/>
              <a:p>
                <a:pPr>
                  <a:defRPr/>
                </a:pPr>
                <a:r>
                  <a:rPr lang="es-AR"/>
                  <a:t>en millones de pesos</a:t>
                </a:r>
              </a:p>
            </c:rich>
          </c:tx>
          <c:overlay val="0"/>
        </c:title>
        <c:numFmt formatCode="_(* #,##0_);_(* \(#,##0\);_(* &quot;-&quot;??_);_(@_)" sourceLinked="1"/>
        <c:majorTickMark val="out"/>
        <c:minorTickMark val="none"/>
        <c:tickLblPos val="nextTo"/>
        <c:crossAx val="630081928"/>
        <c:crosses val="autoZero"/>
        <c:crossBetween val="between"/>
      </c:valAx>
      <c:valAx>
        <c:axId val="630083496"/>
        <c:scaling>
          <c:orientation val="minMax"/>
        </c:scaling>
        <c:delete val="0"/>
        <c:axPos val="r"/>
        <c:numFmt formatCode="0%" sourceLinked="1"/>
        <c:majorTickMark val="out"/>
        <c:minorTickMark val="none"/>
        <c:tickLblPos val="nextTo"/>
        <c:crossAx val="630083888"/>
        <c:crosses val="max"/>
        <c:crossBetween val="between"/>
      </c:valAx>
      <c:catAx>
        <c:axId val="630083888"/>
        <c:scaling>
          <c:orientation val="minMax"/>
        </c:scaling>
        <c:delete val="1"/>
        <c:axPos val="b"/>
        <c:numFmt formatCode="General" sourceLinked="1"/>
        <c:majorTickMark val="out"/>
        <c:minorTickMark val="none"/>
        <c:tickLblPos val="nextTo"/>
        <c:crossAx val="630083496"/>
        <c:crosses val="autoZero"/>
        <c:auto val="1"/>
        <c:lblAlgn val="ctr"/>
        <c:lblOffset val="100"/>
        <c:noMultiLvlLbl val="0"/>
      </c:catAx>
    </c:plotArea>
    <c:legend>
      <c:legendPos val="t"/>
      <c:overlay val="0"/>
      <c:txPr>
        <a:bodyPr/>
        <a:lstStyle/>
        <a:p>
          <a:pPr>
            <a:defRPr sz="900"/>
          </a:pPr>
          <a:endParaRPr lang="es-AR"/>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1"/>
    <c:plotArea>
      <c:layout/>
      <c:barChart>
        <c:barDir val="col"/>
        <c:grouping val="percentStacked"/>
        <c:varyColors val="0"/>
        <c:ser>
          <c:idx val="1"/>
          <c:order val="0"/>
          <c:tx>
            <c:strRef>
              <c:f>'G3-Composición de la Distr'!$A$7</c:f>
              <c:strCache>
                <c:ptCount val="1"/>
                <c:pt idx="0">
                  <c:v>Distribución Coparticipable</c:v>
                </c:pt>
              </c:strCache>
            </c:strRef>
          </c:tx>
          <c:invertIfNegative val="0"/>
          <c:cat>
            <c:numRef>
              <c:f>'G3-Composición de la Distr'!$B$5:$L$5</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'G3-Composición de la Distr'!$B$7:$L$7</c:f>
              <c:numCache>
                <c:formatCode>_(* #,##0_);_(* \(#,##0\);_(* "-"??_);_(@_)</c:formatCode>
                <c:ptCount val="11"/>
                <c:pt idx="0">
                  <c:v>60958.056313411304</c:v>
                </c:pt>
                <c:pt idx="1">
                  <c:v>81800.02575290986</c:v>
                </c:pt>
                <c:pt idx="2">
                  <c:v>108222.503303</c:v>
                </c:pt>
                <c:pt idx="3">
                  <c:v>136876.09977169998</c:v>
                </c:pt>
                <c:pt idx="4">
                  <c:v>177652.65547769994</c:v>
                </c:pt>
                <c:pt idx="5">
                  <c:v>242210.87518752003</c:v>
                </c:pt>
                <c:pt idx="6">
                  <c:v>331779.06454791653</c:v>
                </c:pt>
                <c:pt idx="7">
                  <c:v>466050.07499585603</c:v>
                </c:pt>
                <c:pt idx="8">
                  <c:v>630139.26289543102</c:v>
                </c:pt>
                <c:pt idx="9">
                  <c:v>1009120.4</c:v>
                </c:pt>
                <c:pt idx="10">
                  <c:v>1477401.5570795131</c:v>
                </c:pt>
              </c:numCache>
            </c:numRef>
          </c:val>
          <c:extLst>
            <c:ext xmlns:c16="http://schemas.microsoft.com/office/drawing/2014/chart" uri="{C3380CC4-5D6E-409C-BE32-E72D297353CC}">
              <c16:uniqueId val="{00000000-C361-43A5-ABB7-8B23609DE17A}"/>
            </c:ext>
          </c:extLst>
        </c:ser>
        <c:ser>
          <c:idx val="0"/>
          <c:order val="1"/>
          <c:tx>
            <c:strRef>
              <c:f>'G3-Composición de la Distr'!$A$6</c:f>
              <c:strCache>
                <c:ptCount val="1"/>
                <c:pt idx="0">
                  <c:v>Por fuera del Régimen</c:v>
                </c:pt>
              </c:strCache>
            </c:strRef>
          </c:tx>
          <c:spPr>
            <a:solidFill>
              <a:schemeClr val="tx1">
                <a:lumMod val="50000"/>
                <a:lumOff val="50000"/>
              </a:schemeClr>
            </a:solidFill>
          </c:spPr>
          <c:invertIfNegative val="0"/>
          <c:dPt>
            <c:idx val="0"/>
            <c:invertIfNegative val="0"/>
            <c:bubble3D val="0"/>
            <c:spPr>
              <a:solidFill>
                <a:schemeClr val="tx1">
                  <a:lumMod val="50000"/>
                  <a:lumOff val="50000"/>
                </a:schemeClr>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extLst>
              <c:ext xmlns:c16="http://schemas.microsoft.com/office/drawing/2014/chart" uri="{C3380CC4-5D6E-409C-BE32-E72D297353CC}">
                <c16:uniqueId val="{00000002-C361-43A5-ABB7-8B23609DE17A}"/>
              </c:ext>
            </c:extLst>
          </c:dPt>
          <c:cat>
            <c:numRef>
              <c:f>'G3-Composición de la Distr'!$B$5:$L$5</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'G3-Composición de la Distr'!$B$6:$L$6</c:f>
              <c:numCache>
                <c:formatCode>_(* #,##0_);_(* \(#,##0\);_(* "-"??_);_(@_)</c:formatCode>
                <c:ptCount val="11"/>
                <c:pt idx="0">
                  <c:v>14049.402188074433</c:v>
                </c:pt>
                <c:pt idx="1">
                  <c:v>18924.334132541</c:v>
                </c:pt>
                <c:pt idx="2">
                  <c:v>24991.784350999998</c:v>
                </c:pt>
                <c:pt idx="3">
                  <c:v>32490.058662739975</c:v>
                </c:pt>
                <c:pt idx="4">
                  <c:v>43063.838266580045</c:v>
                </c:pt>
                <c:pt idx="5">
                  <c:v>60669.23485965997</c:v>
                </c:pt>
                <c:pt idx="6">
                  <c:v>82424.872835800052</c:v>
                </c:pt>
                <c:pt idx="7">
                  <c:v>95684.247682929999</c:v>
                </c:pt>
                <c:pt idx="8">
                  <c:v>122713.11445941438</c:v>
                </c:pt>
                <c:pt idx="9">
                  <c:v>46838.099999999977</c:v>
                </c:pt>
                <c:pt idx="10">
                  <c:v>69654.142920486862</c:v>
                </c:pt>
              </c:numCache>
            </c:numRef>
          </c:val>
          <c:extLst>
            <c:ext xmlns:c16="http://schemas.microsoft.com/office/drawing/2014/chart" uri="{C3380CC4-5D6E-409C-BE32-E72D297353CC}">
              <c16:uniqueId val="{00000003-C361-43A5-ABB7-8B23609DE17A}"/>
            </c:ext>
          </c:extLst>
        </c:ser>
        <c:dLbls>
          <c:showLegendKey val="0"/>
          <c:showVal val="0"/>
          <c:showCatName val="0"/>
          <c:showSerName val="0"/>
          <c:showPercent val="0"/>
          <c:showBubbleSize val="0"/>
        </c:dLbls>
        <c:gapWidth val="150"/>
        <c:overlap val="100"/>
        <c:axId val="630084280"/>
        <c:axId val="630084672"/>
      </c:barChart>
      <c:lineChart>
        <c:grouping val="standard"/>
        <c:varyColors val="0"/>
        <c:ser>
          <c:idx val="3"/>
          <c:order val="2"/>
          <c:tx>
            <c:strRef>
              <c:f>'G3-Composición de la Distr'!$A$9</c:f>
              <c:strCache>
                <c:ptCount val="1"/>
                <c:pt idx="0">
                  <c:v>Distribución Coparticipable/Distribución Bruta (eje derecho)</c:v>
                </c:pt>
              </c:strCache>
            </c:strRef>
          </c:tx>
          <c:marker>
            <c:symbol val="triangle"/>
            <c:size val="9"/>
          </c:marker>
          <c:dPt>
            <c:idx val="9"/>
            <c:bubble3D val="0"/>
            <c:extLst>
              <c:ext xmlns:c16="http://schemas.microsoft.com/office/drawing/2014/chart" uri="{C3380CC4-5D6E-409C-BE32-E72D297353CC}">
                <c16:uniqueId val="{00000004-C361-43A5-ABB7-8B23609DE17A}"/>
              </c:ext>
            </c:extLst>
          </c:dPt>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'G3-Composición de la Distr'!$B$9:$L$9</c:f>
              <c:numCache>
                <c:formatCode>0%</c:formatCode>
                <c:ptCount val="11"/>
                <c:pt idx="0">
                  <c:v>0.81269326452653856</c:v>
                </c:pt>
                <c:pt idx="1">
                  <c:v>0.81211760338747485</c:v>
                </c:pt>
                <c:pt idx="2">
                  <c:v>0.8123941148421584</c:v>
                </c:pt>
                <c:pt idx="3">
                  <c:v>0.80816676151206102</c:v>
                </c:pt>
                <c:pt idx="4">
                  <c:v>0.80489071053985939</c:v>
                </c:pt>
                <c:pt idx="5">
                  <c:v>0.79969224505957348</c:v>
                </c:pt>
                <c:pt idx="6">
                  <c:v>0.80100413009970484</c:v>
                </c:pt>
                <c:pt idx="7">
                  <c:v>0.82966280709600748</c:v>
                </c:pt>
                <c:pt idx="8">
                  <c:v>0.83700242152310367</c:v>
                </c:pt>
                <c:pt idx="9">
                  <c:v>0.95564399547898904</c:v>
                </c:pt>
                <c:pt idx="10">
                  <c:v>0.95497631861575061</c:v>
                </c:pt>
              </c:numCache>
            </c:numRef>
          </c:val>
          <c:smooth val="0"/>
          <c:extLst>
            <c:ext xmlns:c16="http://schemas.microsoft.com/office/drawing/2014/chart" uri="{C3380CC4-5D6E-409C-BE32-E72D297353CC}">
              <c16:uniqueId val="{00000005-C361-43A5-ABB7-8B23609DE17A}"/>
            </c:ext>
          </c:extLst>
        </c:ser>
        <c:dLbls>
          <c:showLegendKey val="0"/>
          <c:showVal val="0"/>
          <c:showCatName val="0"/>
          <c:showSerName val="0"/>
          <c:showPercent val="0"/>
          <c:showBubbleSize val="0"/>
        </c:dLbls>
        <c:marker val="1"/>
        <c:smooth val="0"/>
        <c:axId val="578085472"/>
        <c:axId val="630085064"/>
      </c:lineChart>
      <c:catAx>
        <c:axId val="630084280"/>
        <c:scaling>
          <c:orientation val="minMax"/>
        </c:scaling>
        <c:delete val="0"/>
        <c:axPos val="b"/>
        <c:numFmt formatCode="General" sourceLinked="1"/>
        <c:majorTickMark val="out"/>
        <c:minorTickMark val="none"/>
        <c:tickLblPos val="nextTo"/>
        <c:crossAx val="630084672"/>
        <c:crosses val="autoZero"/>
        <c:auto val="1"/>
        <c:lblAlgn val="ctr"/>
        <c:lblOffset val="100"/>
        <c:noMultiLvlLbl val="0"/>
      </c:catAx>
      <c:valAx>
        <c:axId val="630084672"/>
        <c:scaling>
          <c:orientation val="minMax"/>
        </c:scaling>
        <c:delete val="0"/>
        <c:axPos val="l"/>
        <c:majorGridlines/>
        <c:numFmt formatCode="0%" sourceLinked="1"/>
        <c:majorTickMark val="out"/>
        <c:minorTickMark val="none"/>
        <c:tickLblPos val="nextTo"/>
        <c:crossAx val="630084280"/>
        <c:crosses val="autoZero"/>
        <c:crossBetween val="between"/>
      </c:valAx>
      <c:valAx>
        <c:axId val="630085064"/>
        <c:scaling>
          <c:orientation val="minMax"/>
        </c:scaling>
        <c:delete val="0"/>
        <c:axPos val="r"/>
        <c:numFmt formatCode="0%" sourceLinked="1"/>
        <c:majorTickMark val="out"/>
        <c:minorTickMark val="none"/>
        <c:tickLblPos val="nextTo"/>
        <c:crossAx val="578085472"/>
        <c:crosses val="max"/>
        <c:crossBetween val="between"/>
      </c:valAx>
      <c:catAx>
        <c:axId val="578085472"/>
        <c:scaling>
          <c:orientation val="minMax"/>
        </c:scaling>
        <c:delete val="1"/>
        <c:axPos val="b"/>
        <c:numFmt formatCode="General" sourceLinked="1"/>
        <c:majorTickMark val="out"/>
        <c:minorTickMark val="none"/>
        <c:tickLblPos val="nextTo"/>
        <c:crossAx val="630085064"/>
        <c:crosses val="autoZero"/>
        <c:auto val="1"/>
        <c:lblAlgn val="ctr"/>
        <c:lblOffset val="100"/>
        <c:noMultiLvlLbl val="0"/>
      </c:cat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510BE-93FE-4F5F-BBA0-2E915AD99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28</Pages>
  <Words>10812</Words>
  <Characters>59470</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Vega</dc:creator>
  <cp:keywords/>
  <dc:description/>
  <cp:lastModifiedBy>Juan Vega</cp:lastModifiedBy>
  <cp:revision>3</cp:revision>
  <dcterms:created xsi:type="dcterms:W3CDTF">2020-06-14T23:40:00Z</dcterms:created>
  <dcterms:modified xsi:type="dcterms:W3CDTF">2020-06-14T23:45:00Z</dcterms:modified>
</cp:coreProperties>
</file>