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3A" w:rsidRPr="00F31FAD" w:rsidRDefault="00A8443A" w:rsidP="00A8443A">
      <w:pPr>
        <w:pStyle w:val="Normal1"/>
        <w:spacing w:after="0" w:line="360" w:lineRule="auto"/>
        <w:jc w:val="center"/>
        <w:rPr>
          <w:rFonts w:ascii="Times New Roman" w:eastAsia="Times New Roman" w:hAnsi="Times New Roman" w:cs="Times New Roman"/>
          <w:b/>
          <w:color w:val="auto"/>
          <w:sz w:val="28"/>
          <w:szCs w:val="24"/>
        </w:rPr>
      </w:pPr>
      <w:r w:rsidRPr="00F31FAD">
        <w:rPr>
          <w:rFonts w:ascii="Times New Roman" w:eastAsia="Times New Roman" w:hAnsi="Times New Roman" w:cs="Times New Roman"/>
          <w:b/>
          <w:color w:val="auto"/>
          <w:sz w:val="28"/>
          <w:szCs w:val="24"/>
        </w:rPr>
        <w:t>Divulgación de información financiera por</w:t>
      </w:r>
      <w:r>
        <w:rPr>
          <w:rFonts w:ascii="Times New Roman" w:eastAsia="Times New Roman" w:hAnsi="Times New Roman" w:cs="Times New Roman"/>
          <w:b/>
          <w:color w:val="auto"/>
          <w:sz w:val="28"/>
          <w:szCs w:val="24"/>
        </w:rPr>
        <w:t xml:space="preserve"> parte de los gobiernos locales:</w:t>
      </w:r>
      <w:r w:rsidRPr="00F31FAD">
        <w:rPr>
          <w:rFonts w:ascii="Times New Roman" w:eastAsia="Times New Roman" w:hAnsi="Times New Roman" w:cs="Times New Roman"/>
          <w:b/>
          <w:color w:val="auto"/>
          <w:sz w:val="28"/>
          <w:szCs w:val="24"/>
        </w:rPr>
        <w:t xml:space="preserve"> Análisis de sus determinantes en Provincia de Buenos Aires</w:t>
      </w:r>
    </w:p>
    <w:p w:rsidR="00A8443A" w:rsidRPr="00F31FAD" w:rsidRDefault="00A8443A" w:rsidP="00A8443A">
      <w:pPr>
        <w:pStyle w:val="Normal1"/>
        <w:spacing w:after="0" w:line="360" w:lineRule="auto"/>
        <w:ind w:left="851" w:hanging="851"/>
        <w:jc w:val="center"/>
        <w:rPr>
          <w:rFonts w:ascii="Times New Roman" w:eastAsia="Times New Roman" w:hAnsi="Times New Roman" w:cs="Times New Roman"/>
          <w:color w:val="auto"/>
          <w:sz w:val="28"/>
          <w:szCs w:val="28"/>
        </w:rPr>
      </w:pPr>
      <w:r w:rsidRPr="00F31FAD">
        <w:rPr>
          <w:rStyle w:val="Refdenotaalpie"/>
          <w:rFonts w:ascii="Times New Roman" w:eastAsia="Times New Roman" w:hAnsi="Times New Roman" w:cs="Times New Roman"/>
          <w:color w:val="FFFFFF" w:themeColor="background1"/>
          <w:szCs w:val="28"/>
        </w:rPr>
        <w:footnoteReference w:id="1"/>
      </w:r>
      <w:r w:rsidRPr="00F31FAD">
        <w:rPr>
          <w:rFonts w:ascii="Times New Roman" w:eastAsia="Times New Roman" w:hAnsi="Times New Roman" w:cs="Times New Roman"/>
          <w:color w:val="auto"/>
          <w:sz w:val="28"/>
          <w:szCs w:val="28"/>
        </w:rPr>
        <w:t>David José Gulayin</w:t>
      </w:r>
      <w:r w:rsidRPr="00F31FAD">
        <w:rPr>
          <w:rFonts w:ascii="Times New Roman" w:eastAsia="Times New Roman" w:hAnsi="Times New Roman" w:cs="Times New Roman"/>
          <w:color w:val="auto"/>
          <w:szCs w:val="28"/>
        </w:rPr>
        <w:t>*</w:t>
      </w:r>
    </w:p>
    <w:p w:rsidR="00A8443A" w:rsidRPr="00F31FAD" w:rsidRDefault="00A8443A" w:rsidP="00A8443A">
      <w:pPr>
        <w:pStyle w:val="Normal1"/>
        <w:spacing w:after="0" w:line="360" w:lineRule="auto"/>
        <w:ind w:left="851" w:hanging="851"/>
        <w:jc w:val="center"/>
        <w:rPr>
          <w:rFonts w:ascii="Times New Roman" w:eastAsia="Times New Roman" w:hAnsi="Times New Roman" w:cs="Times New Roman"/>
          <w:color w:val="auto"/>
          <w:sz w:val="28"/>
          <w:szCs w:val="28"/>
        </w:rPr>
      </w:pPr>
    </w:p>
    <w:p w:rsidR="00A8443A" w:rsidRPr="00F31FAD" w:rsidRDefault="00A8443A" w:rsidP="00A8443A">
      <w:pPr>
        <w:pStyle w:val="Normal1"/>
        <w:spacing w:after="0" w:line="360" w:lineRule="auto"/>
        <w:ind w:left="851" w:hanging="851"/>
        <w:jc w:val="center"/>
        <w:rPr>
          <w:rFonts w:ascii="Times New Roman" w:eastAsia="Times New Roman" w:hAnsi="Times New Roman" w:cs="Times New Roman"/>
          <w:color w:val="auto"/>
          <w:sz w:val="28"/>
          <w:szCs w:val="28"/>
        </w:rPr>
      </w:pPr>
      <w:r w:rsidRPr="00F31FAD">
        <w:rPr>
          <w:rFonts w:ascii="Times New Roman" w:eastAsia="Times New Roman" w:hAnsi="Times New Roman" w:cs="Times New Roman"/>
          <w:color w:val="auto"/>
          <w:sz w:val="28"/>
          <w:szCs w:val="28"/>
        </w:rPr>
        <w:t>Tesis de Maestría</w:t>
      </w:r>
    </w:p>
    <w:p w:rsidR="00A8443A" w:rsidRPr="00F31FAD" w:rsidRDefault="00A8443A" w:rsidP="00A8443A">
      <w:pPr>
        <w:pStyle w:val="Normal1"/>
        <w:spacing w:after="0" w:line="360" w:lineRule="auto"/>
        <w:ind w:left="851" w:hanging="851"/>
        <w:jc w:val="center"/>
        <w:rPr>
          <w:rFonts w:ascii="Times New Roman" w:eastAsia="Times New Roman" w:hAnsi="Times New Roman" w:cs="Times New Roman"/>
          <w:color w:val="auto"/>
          <w:sz w:val="28"/>
          <w:szCs w:val="28"/>
        </w:rPr>
      </w:pPr>
      <w:r w:rsidRPr="00F31FAD">
        <w:rPr>
          <w:rFonts w:ascii="Times New Roman" w:eastAsia="Times New Roman" w:hAnsi="Times New Roman" w:cs="Times New Roman"/>
          <w:color w:val="auto"/>
          <w:sz w:val="28"/>
          <w:szCs w:val="28"/>
        </w:rPr>
        <w:t>Maestría en Finanzas Públicas Provinciales y Municipales</w:t>
      </w:r>
    </w:p>
    <w:p w:rsidR="00A8443A" w:rsidRPr="00F31FAD" w:rsidRDefault="00A8443A" w:rsidP="00A8443A">
      <w:pPr>
        <w:pStyle w:val="Normal1"/>
        <w:spacing w:after="0" w:line="360" w:lineRule="auto"/>
        <w:ind w:left="851" w:hanging="851"/>
        <w:jc w:val="center"/>
        <w:rPr>
          <w:rFonts w:ascii="Times New Roman" w:eastAsia="Times New Roman" w:hAnsi="Times New Roman" w:cs="Times New Roman"/>
          <w:color w:val="auto"/>
          <w:sz w:val="28"/>
          <w:szCs w:val="28"/>
        </w:rPr>
      </w:pPr>
      <w:r w:rsidRPr="00F31FAD">
        <w:rPr>
          <w:rFonts w:ascii="Times New Roman" w:eastAsia="Times New Roman" w:hAnsi="Times New Roman" w:cs="Times New Roman"/>
          <w:color w:val="auto"/>
          <w:sz w:val="28"/>
          <w:szCs w:val="28"/>
        </w:rPr>
        <w:t>Universidad Nacional de la Plata</w:t>
      </w:r>
    </w:p>
    <w:p w:rsidR="00A8443A" w:rsidRPr="00F31FAD" w:rsidRDefault="00A8443A" w:rsidP="00A8443A">
      <w:pPr>
        <w:pStyle w:val="Normal1"/>
        <w:spacing w:after="0" w:line="360" w:lineRule="auto"/>
        <w:ind w:left="851" w:hanging="851"/>
        <w:jc w:val="both"/>
        <w:rPr>
          <w:rFonts w:ascii="Times New Roman" w:eastAsia="Times New Roman" w:hAnsi="Times New Roman" w:cs="Times New Roman"/>
          <w:color w:val="auto"/>
          <w:sz w:val="28"/>
          <w:szCs w:val="28"/>
        </w:rPr>
      </w:pPr>
    </w:p>
    <w:p w:rsidR="00A8443A" w:rsidRPr="00F31FAD" w:rsidRDefault="00A8443A" w:rsidP="00A8443A">
      <w:pPr>
        <w:pStyle w:val="Normal1"/>
        <w:spacing w:after="0" w:line="360" w:lineRule="auto"/>
        <w:ind w:left="851" w:hanging="851"/>
        <w:jc w:val="both"/>
        <w:rPr>
          <w:rFonts w:ascii="Times New Roman" w:eastAsia="Times New Roman" w:hAnsi="Times New Roman" w:cs="Times New Roman"/>
          <w:color w:val="auto"/>
          <w:sz w:val="28"/>
          <w:szCs w:val="28"/>
        </w:rPr>
      </w:pPr>
    </w:p>
    <w:p w:rsidR="00A8443A" w:rsidRPr="00F31FAD" w:rsidRDefault="00A8443A" w:rsidP="00A8443A">
      <w:pPr>
        <w:pStyle w:val="Normal1"/>
        <w:spacing w:after="0" w:line="360" w:lineRule="auto"/>
        <w:ind w:left="851" w:hanging="851"/>
        <w:jc w:val="both"/>
        <w:rPr>
          <w:rFonts w:ascii="Times New Roman" w:eastAsia="Times New Roman" w:hAnsi="Times New Roman" w:cs="Times New Roman"/>
          <w:color w:val="auto"/>
          <w:sz w:val="28"/>
          <w:szCs w:val="28"/>
        </w:rPr>
      </w:pPr>
    </w:p>
    <w:p w:rsidR="00A8443A" w:rsidRPr="007F73DC" w:rsidRDefault="00A8443A" w:rsidP="00A8443A">
      <w:pPr>
        <w:pStyle w:val="Normal1"/>
        <w:spacing w:after="0" w:line="360" w:lineRule="auto"/>
        <w:ind w:left="851" w:hanging="851"/>
        <w:jc w:val="center"/>
        <w:rPr>
          <w:rFonts w:ascii="Times New Roman" w:eastAsia="Times New Roman" w:hAnsi="Times New Roman" w:cs="Times New Roman"/>
          <w:color w:val="auto"/>
          <w:sz w:val="28"/>
          <w:szCs w:val="28"/>
        </w:rPr>
      </w:pPr>
      <w:r w:rsidRPr="007F73DC">
        <w:rPr>
          <w:rFonts w:ascii="Times New Roman" w:eastAsia="Times New Roman" w:hAnsi="Times New Roman" w:cs="Times New Roman"/>
          <w:color w:val="auto"/>
          <w:sz w:val="28"/>
          <w:szCs w:val="28"/>
        </w:rPr>
        <w:t xml:space="preserve">Director: </w:t>
      </w:r>
      <w:r>
        <w:rPr>
          <w:rFonts w:ascii="Times New Roman" w:eastAsia="Times New Roman" w:hAnsi="Times New Roman" w:cs="Times New Roman"/>
          <w:color w:val="auto"/>
          <w:sz w:val="28"/>
          <w:szCs w:val="28"/>
        </w:rPr>
        <w:t xml:space="preserve">Mg. </w:t>
      </w:r>
      <w:r w:rsidRPr="007F73DC">
        <w:rPr>
          <w:rFonts w:ascii="Times New Roman" w:eastAsia="Times New Roman" w:hAnsi="Times New Roman" w:cs="Times New Roman"/>
          <w:color w:val="auto"/>
          <w:sz w:val="28"/>
          <w:szCs w:val="28"/>
        </w:rPr>
        <w:t>Walter Rosales</w:t>
      </w:r>
    </w:p>
    <w:p w:rsidR="00A8443A" w:rsidRPr="007F73DC" w:rsidRDefault="00A8443A" w:rsidP="00A8443A">
      <w:pPr>
        <w:pStyle w:val="Normal1"/>
        <w:spacing w:after="0" w:line="360" w:lineRule="auto"/>
        <w:ind w:left="851" w:hanging="851"/>
        <w:jc w:val="center"/>
        <w:rPr>
          <w:rFonts w:ascii="Times New Roman" w:eastAsia="Times New Roman" w:hAnsi="Times New Roman" w:cs="Times New Roman"/>
          <w:color w:val="auto"/>
          <w:sz w:val="28"/>
          <w:szCs w:val="28"/>
        </w:rPr>
      </w:pPr>
      <w:r w:rsidRPr="007F73DC">
        <w:rPr>
          <w:rFonts w:ascii="Times New Roman" w:eastAsia="Times New Roman" w:hAnsi="Times New Roman" w:cs="Times New Roman"/>
          <w:color w:val="auto"/>
          <w:sz w:val="28"/>
          <w:szCs w:val="28"/>
        </w:rPr>
        <w:t>Lector: Dr. Alberto Porto</w:t>
      </w:r>
    </w:p>
    <w:p w:rsidR="00A8443A" w:rsidRPr="007F73DC" w:rsidRDefault="00A8443A" w:rsidP="00A8443A">
      <w:pPr>
        <w:pStyle w:val="Normal1"/>
        <w:spacing w:after="0" w:line="360" w:lineRule="auto"/>
        <w:ind w:left="851" w:hanging="851"/>
        <w:jc w:val="both"/>
        <w:rPr>
          <w:rFonts w:ascii="Times New Roman" w:eastAsia="Times New Roman" w:hAnsi="Times New Roman" w:cs="Times New Roman"/>
          <w:b/>
          <w:color w:val="auto"/>
          <w:sz w:val="24"/>
          <w:szCs w:val="24"/>
        </w:rPr>
      </w:pPr>
    </w:p>
    <w:p w:rsidR="00A8443A" w:rsidRPr="007F73DC" w:rsidRDefault="00A8443A" w:rsidP="00A8443A">
      <w:pPr>
        <w:pStyle w:val="Normal1"/>
        <w:spacing w:after="0" w:line="360" w:lineRule="auto"/>
        <w:ind w:left="851" w:hanging="851"/>
        <w:jc w:val="both"/>
        <w:rPr>
          <w:rFonts w:ascii="Times New Roman" w:eastAsia="Times New Roman" w:hAnsi="Times New Roman" w:cs="Times New Roman"/>
          <w:b/>
          <w:color w:val="auto"/>
          <w:sz w:val="24"/>
          <w:szCs w:val="24"/>
        </w:rPr>
      </w:pPr>
    </w:p>
    <w:p w:rsidR="00A8443A" w:rsidRPr="007F73DC" w:rsidRDefault="00A8443A" w:rsidP="00A8443A">
      <w:pPr>
        <w:pStyle w:val="Normal1"/>
        <w:spacing w:after="0" w:line="360" w:lineRule="auto"/>
        <w:ind w:left="851" w:hanging="851"/>
        <w:jc w:val="center"/>
        <w:rPr>
          <w:rFonts w:ascii="Times New Roman" w:eastAsia="Times New Roman" w:hAnsi="Times New Roman" w:cs="Times New Roman"/>
          <w:color w:val="auto"/>
          <w:sz w:val="28"/>
          <w:szCs w:val="24"/>
        </w:rPr>
      </w:pPr>
      <w:r>
        <w:rPr>
          <w:rFonts w:ascii="Times New Roman" w:eastAsia="Times New Roman" w:hAnsi="Times New Roman" w:cs="Times New Roman"/>
          <w:color w:val="auto"/>
          <w:sz w:val="28"/>
          <w:szCs w:val="24"/>
        </w:rPr>
        <w:t>Jun</w:t>
      </w:r>
      <w:r w:rsidRPr="007F73DC">
        <w:rPr>
          <w:rFonts w:ascii="Times New Roman" w:eastAsia="Times New Roman" w:hAnsi="Times New Roman" w:cs="Times New Roman"/>
          <w:color w:val="auto"/>
          <w:sz w:val="28"/>
          <w:szCs w:val="24"/>
        </w:rPr>
        <w:t>io 2018</w:t>
      </w:r>
    </w:p>
    <w:p w:rsidR="00A8443A" w:rsidRDefault="00A8443A" w:rsidP="00A8443A">
      <w:pPr>
        <w:pStyle w:val="Normal1"/>
        <w:spacing w:after="0" w:line="360" w:lineRule="auto"/>
        <w:ind w:left="851" w:hanging="851"/>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rsidR="00A8443A" w:rsidRDefault="00A8443A" w:rsidP="00A8443A">
      <w:pPr>
        <w:pStyle w:val="Normal1"/>
        <w:spacing w:after="0" w:line="360" w:lineRule="auto"/>
        <w:ind w:left="851" w:hanging="851"/>
        <w:jc w:val="both"/>
        <w:rPr>
          <w:rFonts w:ascii="Times New Roman" w:eastAsia="Times New Roman" w:hAnsi="Times New Roman" w:cs="Times New Roman"/>
          <w:b/>
          <w:color w:val="auto"/>
          <w:sz w:val="24"/>
          <w:szCs w:val="24"/>
        </w:rPr>
      </w:pPr>
    </w:p>
    <w:p w:rsidR="00152C9E" w:rsidRDefault="00152C9E"/>
    <w:p w:rsidR="00A8443A" w:rsidRDefault="00A8443A"/>
    <w:p w:rsidR="00A8443A" w:rsidRDefault="00A8443A"/>
    <w:p w:rsidR="00A8443A" w:rsidRDefault="00A8443A"/>
    <w:p w:rsidR="00A8443A" w:rsidRDefault="00A8443A"/>
    <w:p w:rsidR="00A8443A" w:rsidRDefault="00A8443A"/>
    <w:p w:rsidR="00A8443A" w:rsidRPr="00292BC9" w:rsidRDefault="00A8443A" w:rsidP="00A8443A">
      <w:pPr>
        <w:pStyle w:val="Normal1"/>
        <w:spacing w:after="0" w:line="360" w:lineRule="auto"/>
        <w:ind w:left="851" w:hanging="851"/>
        <w:jc w:val="both"/>
        <w:rPr>
          <w:rFonts w:ascii="Times New Roman" w:eastAsia="Times New Roman" w:hAnsi="Times New Roman" w:cs="Times New Roman"/>
          <w:b/>
          <w:color w:val="auto"/>
          <w:sz w:val="24"/>
          <w:szCs w:val="24"/>
        </w:rPr>
      </w:pPr>
      <w:r w:rsidRPr="00292BC9">
        <w:rPr>
          <w:rFonts w:ascii="Times New Roman" w:eastAsia="Times New Roman" w:hAnsi="Times New Roman" w:cs="Times New Roman"/>
          <w:b/>
          <w:color w:val="auto"/>
          <w:sz w:val="24"/>
          <w:szCs w:val="24"/>
        </w:rPr>
        <w:lastRenderedPageBreak/>
        <w:t>Abstract</w:t>
      </w:r>
    </w:p>
    <w:p w:rsidR="00A8443A" w:rsidRPr="00292BC9" w:rsidRDefault="00A8443A" w:rsidP="00A8443A">
      <w:pPr>
        <w:pStyle w:val="Normal1"/>
        <w:spacing w:after="0" w:line="360" w:lineRule="auto"/>
        <w:ind w:firstLine="851"/>
        <w:jc w:val="both"/>
        <w:rPr>
          <w:rFonts w:ascii="Times New Roman" w:eastAsia="Times New Roman" w:hAnsi="Times New Roman" w:cs="Times New Roman"/>
          <w:i/>
          <w:color w:val="auto"/>
          <w:sz w:val="24"/>
          <w:szCs w:val="24"/>
        </w:rPr>
      </w:pPr>
      <w:r w:rsidRPr="00292BC9">
        <w:rPr>
          <w:rFonts w:ascii="Times New Roman" w:eastAsia="Times New Roman" w:hAnsi="Times New Roman" w:cs="Times New Roman"/>
          <w:i/>
          <w:color w:val="auto"/>
          <w:sz w:val="24"/>
          <w:szCs w:val="24"/>
        </w:rPr>
        <w:t xml:space="preserve">La literatura ha indagado sobre la cantidad y calidad de la divulgación de información financiera o fiscal en internet por parte de los gobiernos locales y sobre sus determinantes. Sin embargo, para el caso de los gobiernos locales de la Provincia de Buenos Aires, existen escasas investigaciones sobre dichas cuestiones. </w:t>
      </w:r>
    </w:p>
    <w:p w:rsidR="00A8443A" w:rsidRPr="00292BC9" w:rsidRDefault="00A8443A" w:rsidP="00A8443A">
      <w:pPr>
        <w:pStyle w:val="Normal1"/>
        <w:spacing w:after="0" w:line="360" w:lineRule="auto"/>
        <w:ind w:firstLine="851"/>
        <w:jc w:val="both"/>
        <w:rPr>
          <w:rFonts w:ascii="Times New Roman" w:eastAsia="Times New Roman" w:hAnsi="Times New Roman" w:cs="Times New Roman"/>
          <w:i/>
          <w:color w:val="auto"/>
          <w:sz w:val="24"/>
          <w:szCs w:val="24"/>
        </w:rPr>
      </w:pPr>
      <w:r w:rsidRPr="00292BC9">
        <w:rPr>
          <w:rFonts w:ascii="Times New Roman" w:eastAsia="Times New Roman" w:hAnsi="Times New Roman" w:cs="Times New Roman"/>
          <w:i/>
          <w:color w:val="auto"/>
          <w:sz w:val="24"/>
          <w:szCs w:val="24"/>
        </w:rPr>
        <w:t xml:space="preserve">El presente trabajo realiza el relevamiento de la divulgación de la información financiera de los 135 gobiernos locales de la Provincia de Buenos Aires - Argentina – a través de internet, para los ejercicios económicos 2013 y 2016, e identifica los posibles determinantes que influyen en la divulgación para tales ejercicios. </w:t>
      </w:r>
    </w:p>
    <w:p w:rsidR="00A8443A" w:rsidRPr="00292BC9" w:rsidRDefault="00A8443A" w:rsidP="00A8443A">
      <w:pPr>
        <w:pStyle w:val="Normal1"/>
        <w:spacing w:after="0" w:line="360" w:lineRule="auto"/>
        <w:ind w:firstLine="851"/>
        <w:jc w:val="both"/>
        <w:rPr>
          <w:rFonts w:ascii="Times New Roman" w:eastAsia="Times New Roman" w:hAnsi="Times New Roman" w:cs="Times New Roman"/>
          <w:i/>
          <w:color w:val="auto"/>
          <w:sz w:val="24"/>
          <w:szCs w:val="24"/>
        </w:rPr>
      </w:pPr>
      <w:r w:rsidRPr="00292BC9">
        <w:rPr>
          <w:rFonts w:ascii="Times New Roman" w:eastAsia="Times New Roman" w:hAnsi="Times New Roman" w:cs="Times New Roman"/>
          <w:i/>
          <w:color w:val="auto"/>
          <w:sz w:val="24"/>
          <w:szCs w:val="24"/>
        </w:rPr>
        <w:t>La metodología utilizada, a los fines de aportar evidencia empírica a favor de las hipótesis planteadas, fue el planteo de modelos de regresiones logísticas múltiples, a través de los cuales se relacionó la variable divulgación de información financiera en internet con un conjunto de determinantes financieros, políticos y socioeconómicos.</w:t>
      </w:r>
    </w:p>
    <w:p w:rsidR="00A8443A" w:rsidRPr="00292BC9" w:rsidRDefault="00A8443A" w:rsidP="00A8443A">
      <w:pPr>
        <w:pStyle w:val="Normal1"/>
        <w:spacing w:after="0" w:line="360" w:lineRule="auto"/>
        <w:ind w:firstLine="851"/>
        <w:jc w:val="both"/>
        <w:rPr>
          <w:rFonts w:ascii="Times New Roman" w:eastAsia="Times New Roman" w:hAnsi="Times New Roman" w:cs="Times New Roman"/>
          <w:i/>
          <w:color w:val="auto"/>
          <w:sz w:val="24"/>
          <w:szCs w:val="24"/>
        </w:rPr>
      </w:pPr>
      <w:r w:rsidRPr="00292BC9">
        <w:rPr>
          <w:rFonts w:ascii="Times New Roman" w:eastAsia="Times New Roman" w:hAnsi="Times New Roman" w:cs="Times New Roman"/>
          <w:i/>
          <w:color w:val="auto"/>
          <w:sz w:val="24"/>
          <w:szCs w:val="24"/>
        </w:rPr>
        <w:t>Los resultados muestran que la divulgación de información financiera de los gobiernos locales bonaerenses no ha sufrido una variación significativa entre los periodos 2013 y 2016, alcanzando solo un 46,67% y un 51,11%, respectivamente. Por otro lado se ha encontrado evidencia a favor de que el tamaño de la población</w:t>
      </w:r>
      <w:r>
        <w:rPr>
          <w:rFonts w:ascii="Times New Roman" w:eastAsia="Times New Roman" w:hAnsi="Times New Roman" w:cs="Times New Roman"/>
          <w:i/>
          <w:color w:val="auto"/>
          <w:sz w:val="24"/>
          <w:szCs w:val="24"/>
        </w:rPr>
        <w:t xml:space="preserve"> y del presupuesto</w:t>
      </w:r>
      <w:r w:rsidRPr="00292BC9">
        <w:rPr>
          <w:rFonts w:ascii="Times New Roman" w:eastAsia="Times New Roman" w:hAnsi="Times New Roman" w:cs="Times New Roman"/>
          <w:i/>
          <w:color w:val="auto"/>
          <w:sz w:val="24"/>
          <w:szCs w:val="24"/>
        </w:rPr>
        <w:t xml:space="preserve">, el acceso a </w:t>
      </w:r>
      <w:r>
        <w:rPr>
          <w:rFonts w:ascii="Times New Roman" w:eastAsia="Times New Roman" w:hAnsi="Times New Roman" w:cs="Times New Roman"/>
          <w:i/>
          <w:color w:val="auto"/>
          <w:sz w:val="24"/>
          <w:szCs w:val="24"/>
        </w:rPr>
        <w:t>i</w:t>
      </w:r>
      <w:r w:rsidRPr="00292BC9">
        <w:rPr>
          <w:rFonts w:ascii="Times New Roman" w:eastAsia="Times New Roman" w:hAnsi="Times New Roman" w:cs="Times New Roman"/>
          <w:i/>
          <w:color w:val="auto"/>
          <w:sz w:val="24"/>
          <w:szCs w:val="24"/>
        </w:rPr>
        <w:t xml:space="preserve">nternet y la no alineación política, se relacionan positiva y significativamente con la divulgación por parte de los gobiernos locales. </w:t>
      </w:r>
    </w:p>
    <w:p w:rsidR="00A8443A" w:rsidRPr="00292BC9" w:rsidRDefault="00A8443A" w:rsidP="00A8443A">
      <w:pPr>
        <w:pStyle w:val="Normal1"/>
        <w:jc w:val="both"/>
        <w:rPr>
          <w:rFonts w:ascii="Times New Roman" w:eastAsia="Times New Roman" w:hAnsi="Times New Roman" w:cs="Times New Roman"/>
          <w:b/>
          <w:color w:val="auto"/>
          <w:sz w:val="24"/>
          <w:szCs w:val="24"/>
        </w:rPr>
      </w:pPr>
    </w:p>
    <w:p w:rsidR="00A8443A" w:rsidRPr="00292BC9" w:rsidRDefault="00A8443A" w:rsidP="00A8443A">
      <w:pPr>
        <w:pStyle w:val="Normal1"/>
        <w:jc w:val="both"/>
        <w:rPr>
          <w:rFonts w:ascii="Times New Roman" w:eastAsia="Times New Roman" w:hAnsi="Times New Roman" w:cs="Times New Roman"/>
          <w:b/>
          <w:color w:val="auto"/>
          <w:sz w:val="24"/>
          <w:szCs w:val="24"/>
        </w:rPr>
      </w:pPr>
    </w:p>
    <w:p w:rsidR="00A8443A" w:rsidRPr="00292BC9" w:rsidRDefault="00A8443A" w:rsidP="00A8443A">
      <w:pPr>
        <w:pStyle w:val="Normal1"/>
        <w:jc w:val="both"/>
        <w:rPr>
          <w:rFonts w:ascii="Times New Roman" w:eastAsia="Times New Roman" w:hAnsi="Times New Roman" w:cs="Times New Roman"/>
          <w:b/>
          <w:color w:val="auto"/>
          <w:sz w:val="24"/>
          <w:szCs w:val="24"/>
        </w:rPr>
      </w:pPr>
    </w:p>
    <w:p w:rsidR="00A8443A" w:rsidRPr="00292BC9" w:rsidRDefault="00A8443A" w:rsidP="00A8443A">
      <w:pPr>
        <w:pStyle w:val="Normal1"/>
        <w:jc w:val="both"/>
        <w:rPr>
          <w:rFonts w:ascii="Times New Roman" w:eastAsia="Times New Roman" w:hAnsi="Times New Roman" w:cs="Times New Roman"/>
          <w:b/>
          <w:color w:val="auto"/>
          <w:sz w:val="24"/>
          <w:szCs w:val="24"/>
        </w:rPr>
      </w:pPr>
    </w:p>
    <w:p w:rsidR="00A8443A" w:rsidRPr="00292BC9" w:rsidRDefault="00A8443A" w:rsidP="00A8443A">
      <w:pPr>
        <w:pStyle w:val="Normal1"/>
        <w:jc w:val="both"/>
        <w:rPr>
          <w:rFonts w:ascii="Times New Roman" w:eastAsia="Times New Roman" w:hAnsi="Times New Roman" w:cs="Times New Roman"/>
          <w:b/>
          <w:color w:val="auto"/>
          <w:sz w:val="24"/>
          <w:szCs w:val="24"/>
        </w:rPr>
      </w:pPr>
    </w:p>
    <w:p w:rsidR="00A8443A" w:rsidRPr="00292BC9" w:rsidRDefault="00A8443A" w:rsidP="00A8443A">
      <w:pPr>
        <w:pStyle w:val="Normal1"/>
        <w:jc w:val="both"/>
        <w:rPr>
          <w:rFonts w:ascii="Times New Roman" w:eastAsia="Times New Roman" w:hAnsi="Times New Roman" w:cs="Times New Roman"/>
          <w:b/>
          <w:color w:val="auto"/>
          <w:sz w:val="24"/>
          <w:szCs w:val="24"/>
        </w:rPr>
      </w:pPr>
    </w:p>
    <w:p w:rsidR="00A8443A" w:rsidRPr="00292BC9" w:rsidRDefault="00A8443A" w:rsidP="00A8443A">
      <w:pPr>
        <w:pStyle w:val="Normal1"/>
        <w:jc w:val="both"/>
        <w:rPr>
          <w:rFonts w:ascii="Times New Roman" w:eastAsia="Times New Roman" w:hAnsi="Times New Roman" w:cs="Times New Roman"/>
          <w:b/>
          <w:color w:val="auto"/>
          <w:sz w:val="24"/>
          <w:szCs w:val="24"/>
        </w:rPr>
      </w:pPr>
    </w:p>
    <w:p w:rsidR="00A8443A" w:rsidRPr="00292BC9" w:rsidRDefault="00A8443A" w:rsidP="00A8443A">
      <w:pPr>
        <w:pStyle w:val="Normal1"/>
        <w:jc w:val="both"/>
        <w:rPr>
          <w:rFonts w:ascii="Times New Roman" w:eastAsia="Times New Roman" w:hAnsi="Times New Roman" w:cs="Times New Roman"/>
          <w:b/>
          <w:color w:val="auto"/>
          <w:sz w:val="24"/>
          <w:szCs w:val="24"/>
        </w:rPr>
      </w:pPr>
    </w:p>
    <w:p w:rsidR="00A8443A" w:rsidRPr="0074691E" w:rsidRDefault="00A8443A" w:rsidP="00A8443A">
      <w:pPr>
        <w:pStyle w:val="Normal1"/>
        <w:jc w:val="both"/>
        <w:rPr>
          <w:rFonts w:ascii="Times New Roman" w:eastAsia="Times New Roman" w:hAnsi="Times New Roman" w:cs="Times New Roman"/>
          <w:color w:val="auto"/>
          <w:sz w:val="24"/>
          <w:szCs w:val="24"/>
        </w:rPr>
      </w:pPr>
      <w:r w:rsidRPr="0074691E">
        <w:rPr>
          <w:rFonts w:ascii="Times New Roman" w:eastAsia="Times New Roman" w:hAnsi="Times New Roman" w:cs="Times New Roman"/>
          <w:color w:val="auto"/>
          <w:sz w:val="24"/>
          <w:szCs w:val="24"/>
        </w:rPr>
        <w:t>Palabras clave:</w:t>
      </w:r>
      <w:r>
        <w:rPr>
          <w:rFonts w:ascii="Times New Roman" w:eastAsia="Times New Roman" w:hAnsi="Times New Roman" w:cs="Times New Roman"/>
          <w:color w:val="auto"/>
          <w:sz w:val="24"/>
          <w:szCs w:val="24"/>
        </w:rPr>
        <w:t xml:space="preserve"> Gobierno local, información financiera, divulgación, Provincia de Buenos Aires.</w:t>
      </w:r>
    </w:p>
    <w:sectPr w:rsidR="00A8443A" w:rsidRPr="0074691E" w:rsidSect="00152C9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3C8" w:rsidRDefault="00A473C8" w:rsidP="00A8443A">
      <w:pPr>
        <w:spacing w:after="0" w:line="240" w:lineRule="auto"/>
      </w:pPr>
      <w:r>
        <w:separator/>
      </w:r>
    </w:p>
  </w:endnote>
  <w:endnote w:type="continuationSeparator" w:id="0">
    <w:p w:rsidR="00A473C8" w:rsidRDefault="00A473C8" w:rsidP="00A84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3C8" w:rsidRDefault="00A473C8" w:rsidP="00A8443A">
      <w:pPr>
        <w:spacing w:after="0" w:line="240" w:lineRule="auto"/>
      </w:pPr>
      <w:r>
        <w:separator/>
      </w:r>
    </w:p>
  </w:footnote>
  <w:footnote w:type="continuationSeparator" w:id="0">
    <w:p w:rsidR="00A473C8" w:rsidRDefault="00A473C8" w:rsidP="00A8443A">
      <w:pPr>
        <w:spacing w:after="0" w:line="240" w:lineRule="auto"/>
      </w:pPr>
      <w:r>
        <w:continuationSeparator/>
      </w:r>
    </w:p>
  </w:footnote>
  <w:footnote w:id="1">
    <w:p w:rsidR="00A8443A" w:rsidRPr="007F73DC" w:rsidRDefault="00A8443A" w:rsidP="00A8443A">
      <w:pPr>
        <w:pStyle w:val="Textonotapie"/>
        <w:jc w:val="both"/>
        <w:rPr>
          <w:rFonts w:ascii="Times New Roman" w:hAnsi="Times New Roman" w:cs="Times New Roman"/>
          <w:color w:val="auto"/>
        </w:rPr>
      </w:pPr>
      <w:r w:rsidRPr="007F73DC">
        <w:rPr>
          <w:rFonts w:ascii="Times New Roman" w:hAnsi="Times New Roman" w:cs="Times New Roman"/>
          <w:color w:val="auto"/>
        </w:rPr>
        <w:sym w:font="Symbol" w:char="F0A7"/>
      </w:r>
      <w:r w:rsidRPr="00D945D1">
        <w:rPr>
          <w:rFonts w:ascii="Times New Roman" w:hAnsi="Times New Roman" w:cs="Times New Roman"/>
          <w:color w:val="auto"/>
        </w:rPr>
        <w:t xml:space="preserve"> </w:t>
      </w:r>
      <w:r w:rsidRPr="007F73DC">
        <w:rPr>
          <w:rFonts w:ascii="Times New Roman" w:hAnsi="Times New Roman" w:cs="Times New Roman"/>
          <w:color w:val="auto"/>
        </w:rPr>
        <w:t>Agradezco principalmente a</w:t>
      </w:r>
      <w:r w:rsidRPr="00D945D1">
        <w:rPr>
          <w:rFonts w:ascii="Times New Roman" w:hAnsi="Times New Roman" w:cs="Times New Roman"/>
          <w:color w:val="auto"/>
        </w:rPr>
        <w:t xml:space="preserve">: </w:t>
      </w:r>
      <w:r w:rsidRPr="007F73DC">
        <w:rPr>
          <w:rFonts w:ascii="Times New Roman" w:hAnsi="Times New Roman" w:cs="Times New Roman"/>
          <w:color w:val="auto"/>
        </w:rPr>
        <w:t xml:space="preserve"> </w:t>
      </w:r>
      <w:r>
        <w:rPr>
          <w:rFonts w:ascii="Times New Roman" w:hAnsi="Times New Roman" w:cs="Times New Roman"/>
          <w:color w:val="auto"/>
        </w:rPr>
        <w:t xml:space="preserve">W. Rosales, </w:t>
      </w:r>
      <w:r w:rsidRPr="00D945D1">
        <w:rPr>
          <w:rFonts w:ascii="Times New Roman" w:hAnsi="Times New Roman" w:cs="Times New Roman"/>
          <w:color w:val="auto"/>
        </w:rPr>
        <w:t>M. Grotz, E. Versino, P. Torga, M. Garriga,</w:t>
      </w:r>
      <w:r>
        <w:rPr>
          <w:rFonts w:ascii="Times New Roman" w:hAnsi="Times New Roman" w:cs="Times New Roman"/>
          <w:color w:val="auto"/>
        </w:rPr>
        <w:t xml:space="preserve"> </w:t>
      </w:r>
      <w:r w:rsidRPr="00D945D1">
        <w:rPr>
          <w:rFonts w:ascii="Times New Roman" w:hAnsi="Times New Roman" w:cs="Times New Roman"/>
          <w:color w:val="auto"/>
        </w:rPr>
        <w:t>J. Puig, H. Collacciani, M. López Armengol, E. De Giusti,</w:t>
      </w:r>
      <w:r>
        <w:rPr>
          <w:rFonts w:ascii="Times New Roman" w:hAnsi="Times New Roman" w:cs="Times New Roman"/>
          <w:color w:val="auto"/>
        </w:rPr>
        <w:t xml:space="preserve"> </w:t>
      </w:r>
      <w:r w:rsidRPr="00D945D1">
        <w:rPr>
          <w:rFonts w:ascii="Times New Roman" w:hAnsi="Times New Roman" w:cs="Times New Roman"/>
          <w:color w:val="auto"/>
        </w:rPr>
        <w:t>S. Cerruti, M. Teilletchea, M. Soler, E. Soriano, mi familia y amigos.</w:t>
      </w:r>
      <w:r w:rsidRPr="007F73DC">
        <w:rPr>
          <w:rFonts w:ascii="Times New Roman" w:hAnsi="Times New Roman" w:cs="Times New Roman"/>
          <w:color w:val="auto"/>
        </w:rPr>
        <w:t xml:space="preserve"> Los errores u omisiones son total responsabilidad del autor.</w:t>
      </w:r>
      <w:r w:rsidRPr="00D945D1">
        <w:rPr>
          <w:rFonts w:ascii="Times New Roman" w:hAnsi="Times New Roman" w:cs="Times New Roman"/>
          <w:color w:val="auto"/>
        </w:rPr>
        <w:t xml:space="preserve"> </w:t>
      </w:r>
    </w:p>
    <w:p w:rsidR="00A8443A" w:rsidRPr="00D945D1" w:rsidRDefault="00A8443A" w:rsidP="00A8443A">
      <w:pPr>
        <w:pStyle w:val="Textonotapie"/>
        <w:jc w:val="both"/>
        <w:rPr>
          <w:rFonts w:ascii="Times New Roman" w:hAnsi="Times New Roman" w:cs="Times New Roman"/>
          <w:color w:val="auto"/>
        </w:rPr>
      </w:pPr>
      <w:r w:rsidRPr="00D945D1">
        <w:rPr>
          <w:rStyle w:val="Refdenotaalpie"/>
          <w:rFonts w:ascii="Times New Roman" w:hAnsi="Times New Roman" w:cs="Times New Roman"/>
          <w:color w:val="FFFFFF" w:themeColor="background1"/>
        </w:rPr>
        <w:footnoteRef/>
      </w:r>
      <w:r w:rsidRPr="00D945D1">
        <w:rPr>
          <w:rFonts w:ascii="Times New Roman" w:hAnsi="Times New Roman" w:cs="Times New Roman"/>
          <w:color w:val="auto"/>
        </w:rPr>
        <w:t>*Instituto de investigaciones y estudios contables (FCE-UNLP). El Plan Estratégico (período 2013-2017) del H. Tribunal de Cuentas de la Pcia. de Bs. As. (realizado con colaboración del BID) incluyó un programa de financiamiento de capacitaciones al personal entre las cuales se encuentra la presente.</w:t>
      </w:r>
    </w:p>
    <w:p w:rsidR="00A8443A" w:rsidRDefault="00A8443A" w:rsidP="00A8443A">
      <w:pPr>
        <w:pStyle w:val="Textonotapie"/>
        <w:rPr>
          <w:color w:val="auto"/>
        </w:rPr>
      </w:pPr>
    </w:p>
    <w:p w:rsidR="00A8443A" w:rsidRPr="00F31FAD" w:rsidRDefault="00A8443A" w:rsidP="00A8443A">
      <w:pPr>
        <w:pStyle w:val="Textonotapie"/>
        <w:rPr>
          <w:color w:val="FFFFFF" w:themeColor="background1"/>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8443A"/>
    <w:rsid w:val="000F40C0"/>
    <w:rsid w:val="00152C9E"/>
    <w:rsid w:val="002B7840"/>
    <w:rsid w:val="0030408F"/>
    <w:rsid w:val="00473B8C"/>
    <w:rsid w:val="00A473C8"/>
    <w:rsid w:val="00A6138C"/>
    <w:rsid w:val="00A8443A"/>
    <w:rsid w:val="00A91CD9"/>
    <w:rsid w:val="00CA7308"/>
    <w:rsid w:val="00D93970"/>
    <w:rsid w:val="00E7245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8443A"/>
    <w:pPr>
      <w:pBdr>
        <w:top w:val="nil"/>
        <w:left w:val="nil"/>
        <w:bottom w:val="nil"/>
        <w:right w:val="nil"/>
        <w:between w:val="nil"/>
      </w:pBdr>
    </w:pPr>
    <w:rPr>
      <w:rFonts w:ascii="Calibri" w:eastAsia="Calibri" w:hAnsi="Calibri" w:cs="Calibri"/>
      <w:color w:val="000000"/>
      <w:lang w:val="es-ES" w:eastAsia="es-ES"/>
    </w:rPr>
  </w:style>
  <w:style w:type="paragraph" w:styleId="Textonotapie">
    <w:name w:val="footnote text"/>
    <w:basedOn w:val="Normal"/>
    <w:link w:val="TextonotapieCar"/>
    <w:unhideWhenUsed/>
    <w:qFormat/>
    <w:rsid w:val="00A8443A"/>
    <w:pPr>
      <w:pBdr>
        <w:top w:val="nil"/>
        <w:left w:val="nil"/>
        <w:bottom w:val="nil"/>
        <w:right w:val="nil"/>
        <w:between w:val="nil"/>
      </w:pBdr>
      <w:spacing w:after="0" w:line="240" w:lineRule="auto"/>
    </w:pPr>
    <w:rPr>
      <w:rFonts w:ascii="Calibri" w:eastAsia="Calibri" w:hAnsi="Calibri" w:cs="Calibri"/>
      <w:color w:val="000000"/>
      <w:sz w:val="20"/>
      <w:szCs w:val="20"/>
      <w:lang w:val="es-ES" w:eastAsia="es-ES"/>
    </w:rPr>
  </w:style>
  <w:style w:type="character" w:customStyle="1" w:styleId="TextonotapieCar">
    <w:name w:val="Texto nota pie Car"/>
    <w:basedOn w:val="Fuentedeprrafopredeter"/>
    <w:link w:val="Textonotapie"/>
    <w:qFormat/>
    <w:rsid w:val="00A8443A"/>
    <w:rPr>
      <w:rFonts w:ascii="Calibri" w:eastAsia="Calibri" w:hAnsi="Calibri" w:cs="Calibri"/>
      <w:color w:val="000000"/>
      <w:sz w:val="20"/>
      <w:szCs w:val="20"/>
      <w:lang w:val="es-ES" w:eastAsia="es-ES"/>
    </w:rPr>
  </w:style>
  <w:style w:type="character" w:styleId="Refdenotaalpie">
    <w:name w:val="footnote reference"/>
    <w:basedOn w:val="Fuentedeprrafopredeter"/>
    <w:unhideWhenUsed/>
    <w:qFormat/>
    <w:rsid w:val="00A8443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1637</Characters>
  <Application>Microsoft Office Word</Application>
  <DocSecurity>0</DocSecurity>
  <Lines>13</Lines>
  <Paragraphs>3</Paragraphs>
  <ScaleCrop>false</ScaleCrop>
  <Company>Facultad de Ciencias Económicas</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general</cp:lastModifiedBy>
  <cp:revision>2</cp:revision>
  <dcterms:created xsi:type="dcterms:W3CDTF">2019-06-10T14:03:00Z</dcterms:created>
  <dcterms:modified xsi:type="dcterms:W3CDTF">2019-06-10T14:04:00Z</dcterms:modified>
</cp:coreProperties>
</file>